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oolkitKicker"/>
      </w:pPr>
      <w:r>
        <w:t>AI 協作工具包 / AI協働ツールキット / AI OPERATIONS TOOLKIT  |  模組 / モジュール / MODULE 04</w:t>
      </w:r>
    </w:p>
    <w:p>
      <w:pPr>
        <w:pStyle w:val="Title"/>
      </w:pPr>
      <w:r>
        <w:t>B2B 洽詢與提案分流</w:t>
      </w:r>
    </w:p>
    <w:p>
      <w:pPr>
        <w:pStyle w:val="Subtitle"/>
        <w:spacing w:after="60"/>
      </w:pPr>
      <w:r>
        <w:rPr>
          <w:rFonts w:ascii="Noto Sans TC" w:hAnsi="Noto Sans TC" w:eastAsia="Noto Sans TC" w:cs="Noto Sans TC"/>
          <w:b/>
          <w:color w:val="173F42"/>
          <w:sz w:val="26"/>
        </w:rPr>
        <w:t>B2B相談・提案振り分け</w:t>
      </w:r>
    </w:p>
    <w:p>
      <w:pPr>
        <w:pStyle w:val="Subtitle"/>
        <w:spacing w:after="320"/>
      </w:pPr>
      <w:r>
        <w:rPr>
          <w:rFonts w:ascii="Noto Sans TC" w:hAnsi="Noto Sans TC" w:eastAsia="Noto Sans TC" w:cs="Noto Sans TC"/>
          <w:b/>
          <w:color w:val="5D6C6D"/>
          <w:sz w:val="25"/>
        </w:rPr>
        <w:t>B2B enquiry and proposal routing</w:t>
      </w:r>
    </w:p>
    <w:p>
      <w:pPr>
        <w:pStyle w:val="ToolkitLead"/>
      </w:pPr>
      <w:r>
        <w:rPr>
          <w:rFonts w:ascii="Noto Sans TC" w:hAnsi="Noto Sans TC" w:eastAsia="Noto Sans TC" w:cs="Noto Sans TC"/>
          <w:b/>
          <w:color w:val="D8A657"/>
          <w:sz w:val="18"/>
        </w:rPr>
        <w:t xml:space="preserve">繁中  </w:t>
      </w:r>
      <w:r>
        <w:rPr>
          <w:rFonts w:ascii="Noto Sans TC" w:hAnsi="Noto Sans TC" w:eastAsia="Noto Sans TC" w:cs="Noto Sans TC"/>
          <w:color w:val="172426"/>
          <w:sz w:val="21"/>
        </w:rPr>
        <w:t>把不同合作需求轉成摘要、缺件、負責窗口、下一步與提案大綱。</w:t>
      </w:r>
    </w:p>
    <w:p>
      <w:pPr>
        <w:pStyle w:val="ToolkitLead"/>
      </w:pPr>
      <w:r>
        <w:rPr>
          <w:rFonts w:ascii="Noto Sans TC" w:hAnsi="Noto Sans TC" w:eastAsia="Noto Sans TC" w:cs="Noto Sans TC"/>
          <w:b/>
          <w:color w:val="D8A657"/>
          <w:sz w:val="18"/>
        </w:rPr>
        <w:t xml:space="preserve">日本語  </w:t>
      </w:r>
      <w:r>
        <w:rPr>
          <w:rFonts w:ascii="Noto Sans TC" w:hAnsi="Noto Sans TC" w:eastAsia="Noto Sans TC" w:cs="Noto Sans TC"/>
          <w:color w:val="172426"/>
          <w:sz w:val="21"/>
        </w:rPr>
        <w:t>異なる相談を要約、不足情報、担当窓口、次工程、提案骨子に整理します。</w:t>
      </w:r>
    </w:p>
    <w:p>
      <w:pPr>
        <w:pStyle w:val="ToolkitLead"/>
      </w:pPr>
      <w:r>
        <w:rPr>
          <w:rFonts w:ascii="Noto Sans TC" w:hAnsi="Noto Sans TC" w:eastAsia="Noto Sans TC" w:cs="Noto Sans TC"/>
          <w:b/>
          <w:color w:val="D8A657"/>
          <w:sz w:val="18"/>
        </w:rPr>
        <w:t xml:space="preserve">EN  </w:t>
      </w:r>
      <w:r>
        <w:rPr>
          <w:rFonts w:ascii="Noto Sans TC" w:hAnsi="Noto Sans TC" w:eastAsia="Noto Sans TC" w:cs="Noto Sans TC"/>
          <w:color w:val="172426"/>
          <w:sz w:val="21"/>
        </w:rPr>
        <w:t>Turn different enquiries into a summary, missing inputs, responsible owner, next step and proposal outline.</w:t>
      </w:r>
    </w:p>
    <w:p>
      <w:pPr>
        <w:pStyle w:val="Heading2"/>
      </w:pPr>
      <w:r>
        <w:t>文件控制 / 文書管理 / Document control</w:t>
      </w:r>
    </w:p>
    <w:tbl>
      <w:tblPr>
        <w:tblW w:type="dxa" w:w="9360"/>
        <w:tblLayout w:type="fixed"/>
        <w:tblLook w:firstColumn="1" w:firstRow="1" w:lastColumn="0" w:lastRow="0" w:noHBand="0" w:noVBand="1" w:val="04A0"/>
        <w:jc w:val="left"/>
        <w:tblInd w:type="dxa" w:w="120"/>
      </w:tblPr>
      <w:tblGrid>
        <w:gridCol w:w="1600"/>
        <w:gridCol w:w="2000"/>
        <w:gridCol w:w="2880"/>
        <w:gridCol w:w="2880"/>
      </w:tblGrid>
      <w:tr>
        <w:trPr>
          <w:tblHeader w:val="true"/>
          <w:cantSplit/>
        </w:trPr>
        <w:tc>
          <w:tcPr>
            <w:tcW w:type="dxa" w:w="16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版本 / 版 / Version</w:t>
            </w:r>
          </w:p>
        </w:tc>
        <w:tc>
          <w:tcPr>
            <w:tcW w:type="dxa" w:w="20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r>
      <w:tr>
        <w:trPr>
          <w:cantSplit/>
        </w:trPr>
        <w:tc>
          <w:tcPr>
            <w:tcW w:type="dxa" w:w="16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1.0.0</w:t>
            </w:r>
          </w:p>
        </w:tc>
        <w:tc>
          <w:tcPr>
            <w:tcW w:type="dxa" w:w="20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2026-08-21</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r>
    </w:tbl>
    <w:p>
      <w:pPr>
        <w:pStyle w:val="ToolkitNote"/>
        <w:spacing w:before="140"/>
      </w:pPr>
      <w:r>
        <w:t xml:space="preserve">狀態 / 状態 / Status:  </w:t>
      </w:r>
      <w:r>
        <w:rPr>
          <w:rFonts w:ascii="Noto Sans TC" w:hAnsi="Noto Sans TC" w:eastAsia="Noto Sans TC" w:cs="Noto Sans TC"/>
          <w:b/>
          <w:color w:val="172426"/>
          <w:sz w:val="19"/>
        </w:rPr>
        <w:t>☐ 草稿 / 下書き / Draft</w:t>
      </w:r>
      <w:r>
        <w:t xml:space="preserve">      </w:t>
      </w:r>
      <w:r>
        <w:rPr>
          <w:rFonts w:ascii="Noto Sans TC" w:hAnsi="Noto Sans TC" w:eastAsia="Noto Sans TC" w:cs="Noto Sans TC"/>
          <w:b/>
          <w:color w:val="172426"/>
          <w:sz w:val="19"/>
        </w:rPr>
        <w:t>☐ 審閱中 / 確認中 / In review</w:t>
      </w:r>
      <w:r>
        <w:t xml:space="preserve">      </w:t>
      </w:r>
      <w:r>
        <w:rPr>
          <w:rFonts w:ascii="Noto Sans TC" w:hAnsi="Noto Sans TC" w:eastAsia="Noto Sans TC" w:cs="Noto Sans TC"/>
          <w:b/>
          <w:color w:val="172426"/>
          <w:sz w:val="19"/>
        </w:rPr>
        <w:t>☐ 已核准 / 承認済み / Approved</w:t>
      </w:r>
    </w:p>
    <w:p>
      <w:pPr>
        <w:pStyle w:val="Heading2"/>
      </w:pPr>
      <w:r>
        <w:t>使用說明 / 使用方法 / How to use</w:t>
      </w:r>
    </w:p>
    <w:p>
      <w:pPr>
        <w:pStyle w:val="ToolkitNote"/>
      </w:pPr>
      <w:r>
        <w:rPr>
          <w:rFonts w:ascii="Noto Sans TC" w:hAnsi="Noto Sans TC" w:eastAsia="Noto Sans TC" w:cs="Noto Sans TC"/>
          <w:b/>
          <w:color w:val="173F42"/>
          <w:sz w:val="18"/>
        </w:rPr>
        <w:t xml:space="preserve">繁體中文: </w:t>
      </w:r>
      <w:r>
        <w:rPr>
          <w:rFonts w:ascii="Noto Sans TC" w:hAnsi="Noto Sans TC" w:eastAsia="Noto Sans TC" w:cs="Noto Sans TC"/>
          <w:color w:val="172426"/>
          <w:sz w:val="18"/>
        </w:rPr>
        <w:t>依頁面順序填寫，保留正式來源、版本、責任人與核准人。草稿、名單、數字、日期及對外內容，須在發布、寄送或執行前由獲授權人員覆核。</w:t>
      </w:r>
    </w:p>
    <w:p>
      <w:pPr>
        <w:pStyle w:val="ToolkitNote"/>
      </w:pPr>
      <w:r>
        <w:rPr>
          <w:rFonts w:ascii="Noto Sans TC" w:hAnsi="Noto Sans TC" w:eastAsia="Noto Sans TC" w:cs="Noto Sans TC"/>
          <w:b/>
          <w:color w:val="173F42"/>
          <w:sz w:val="18"/>
        </w:rPr>
        <w:t xml:space="preserve">日本語: </w:t>
      </w:r>
      <w:r>
        <w:rPr>
          <w:rFonts w:ascii="Noto Sans TC" w:hAnsi="Noto Sans TC" w:eastAsia="Noto Sans TC" w:cs="Noto Sans TC"/>
          <w:color w:val="172426"/>
          <w:sz w:val="18"/>
        </w:rPr>
        <w:t>ページ順に記入し、正式な情報源、版、担当者、承認者を残してください。原稿、名簿、数値、日付、対外内容は、公開・送信・実行前に権限を持つ担当者が確認します。</w:t>
      </w:r>
    </w:p>
    <w:p>
      <w:pPr>
        <w:pStyle w:val="ToolkitNote"/>
      </w:pPr>
      <w:r>
        <w:rPr>
          <w:rFonts w:ascii="Noto Sans TC" w:hAnsi="Noto Sans TC" w:eastAsia="Noto Sans TC" w:cs="Noto Sans TC"/>
          <w:b/>
          <w:color w:val="173F42"/>
          <w:sz w:val="18"/>
        </w:rPr>
        <w:t xml:space="preserve">English: </w:t>
      </w:r>
      <w:r>
        <w:rPr>
          <w:rFonts w:ascii="Noto Sans TC" w:hAnsi="Noto Sans TC" w:eastAsia="Noto Sans TC" w:cs="Noto Sans TC"/>
          <w:color w:val="172426"/>
          <w:sz w:val="18"/>
        </w:rPr>
        <w:t>Complete the pages in order and retain the official source, version, responsible person and approver. Authorised staff must review drafts, lists, figures, dates and external content before release, sending or action.</w:t>
      </w:r>
    </w:p>
    <w:p>
      <w:r>
        <w:br w:type="page"/>
      </w:r>
    </w:p>
    <w:p>
      <w:pPr>
        <w:pStyle w:val="ToolkitKicker"/>
      </w:pPr>
      <w:r>
        <w:t>AI 協作工具包 / AI協働ツールキット / AI OPERATIONS TOOLKIT</w:t>
      </w:r>
    </w:p>
    <w:p>
      <w:pPr>
        <w:pStyle w:val="Heading1"/>
      </w:pPr>
      <w:r>
        <w:t>模組概覽 / モジュール概要 / Module overview</w:t>
      </w:r>
    </w:p>
    <w:p>
      <w:pPr>
        <w:pStyle w:val="Heading2"/>
      </w:pPr>
      <w:r>
        <w:t>適用情境 / 適用場面 / Best for</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適合和牛、進出口、設備、食品生產與百貨合作等不同需求集中進入同一窗口。</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和牛、輸出入、設備、食品製造、百貨店連携の相談が一窓口に集まる場合に適しています。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Wagyu, trade, equipment, food production and department-store enquiries entering through one contact point.</w:t>
      </w:r>
    </w:p>
    <w:p>
      <w:pPr>
        <w:pStyle w:val="Heading2"/>
      </w:pPr>
      <w:r>
        <w:t>預期交付 / 想定成果 / Expected outcome</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每筆洽詢都能快速分流到正確公司或負責人，並保留不得由 AI 承諾的商業界線。</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相談を正しい会社・担当者へ渡し、AIが約束してはいけない範囲も記録します。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Route each enquiry to the right company or person while retaining clear no-commitment boundaries.</w:t>
      </w:r>
    </w:p>
    <w:p>
      <w:pPr>
        <w:pStyle w:val="Heading2"/>
      </w:pPr>
      <w:r>
        <w:t>開始前需準備 / 開始前に必要 / Inputs required</w:t>
      </w:r>
    </w:p>
    <w:tbl>
      <w:tblPr>
        <w:tblW w:type="dxa" w:w="9360"/>
        <w:tblLayout w:type="fixed"/>
        <w:tblLook w:firstColumn="1" w:firstRow="1" w:lastColumn="0" w:lastRow="0" w:noHBand="0" w:noVBand="1" w:val="04A0"/>
        <w:jc w:val="left"/>
        <w:tblInd w:type="dxa" w:w="120"/>
      </w:tblPr>
      <w:tblGrid>
        <w:gridCol w:w="620"/>
        <w:gridCol w:w="2910"/>
        <w:gridCol w:w="2910"/>
        <w:gridCol w:w="2920"/>
      </w:tblGrid>
      <w:tr>
        <w:trPr>
          <w:tblHeader w:val="true"/>
          <w:cantSplit/>
        </w:trPr>
        <w:tc>
          <w:tcPr>
            <w:tcW w:type="dxa" w:w="6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9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1</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服務範圍與洽詢類型</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サービス範囲と相談区分</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Service scope and enquiry categories</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2</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各類型必填資料及內部負責窗口</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必須項目と社内窓口</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Required fields and internal owners</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3</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回覆時限原則與既有提案範本</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回答期限原則と既存テンプレート</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Response principles and existing templates</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4</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不得由 AI 回覆或承諾的條件</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AI回答・約束禁止条件</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Conditions AI must not answer or promise</w:t>
            </w:r>
          </w:p>
        </w:tc>
      </w:tr>
    </w:tbl>
    <w:p>
      <w:r>
        <w:br w:type="page"/>
      </w:r>
    </w:p>
    <w:p>
      <w:pPr>
        <w:pStyle w:val="ToolkitKicker"/>
      </w:pPr>
      <w:r>
        <w:t>AI 協作工具包 / AI協働ツールキット / AI OPERATIONS TOOLKIT</w:t>
      </w:r>
    </w:p>
    <w:p>
      <w:pPr>
        <w:pStyle w:val="Heading1"/>
      </w:pPr>
      <w:r>
        <w:t>人工覆核界線 / 人による確認範囲 / Human review boundaries</w:t>
      </w:r>
    </w:p>
    <w:p>
      <w:pPr>
        <w:pStyle w:val="Heading2"/>
      </w:pPr>
      <w:r>
        <w:t>人工覆核界線 / 人による確認範囲 / Human review boundaries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報價、合作資格、交期與進出口可行性由授權人員決定</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見積り、取引可否、納期、輸出入可否は権限者が判断</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Authorised staff decide quotes, eligibility, lead times and trade feasibility</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不把初步摘要視為正式提案、合約或承諾</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要約を正式提案・契約とみなさない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A summary is not a formal proposal, contract or commitment</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敏感商業資料只交給被授權的案件人員</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機密情報は権限ある担当者だけに共有</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Sensitive commercial material stays with authorised case staff</w:t>
      </w:r>
    </w:p>
    <w:p>
      <w:pPr>
        <w:pStyle w:val="Heading2"/>
      </w:pPr>
      <w:r>
        <w:t>範圍聲明 / 範囲説明 / Scope statement</w:t>
      </w:r>
    </w:p>
    <w:p>
      <w:pPr>
        <w:pStyle w:val="ToolkitNote"/>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17"/>
        </w:rPr>
        <w:t>以上為可評估、可逐步導入的工作方式，不代表目前網站已連接客戶、訂單、庫存、財務、LINE 或 Email 系統。實際資料存取、發送、自動化、頻率、保存期限、費用與責任，以測試結果及書面合作範圍為準。</w:t>
      </w:r>
    </w:p>
    <w:p>
      <w:pPr>
        <w:pStyle w:val="ToolkitNote"/>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17"/>
        </w:rPr>
        <w:t>上記は評価・段階導入が可能な業務案であり、現在のサイトが顧客、受注、在庫、会計、LINE、メール各システムと接続済みであることを示しません。アクセス、送信、自動化、頻度、保存期間、費用、責任はテスト結果と書面合意に基づきます。</w:t>
      </w:r>
    </w:p>
    <w:p>
      <w:pPr>
        <w:pStyle w:val="ToolkitNote"/>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17"/>
        </w:rPr>
        <w:t>These are workflows available for assessment and phased introduction. They do not imply that the current website is connected to customer, order, inventory, finance, LINE or email systems. Data access, sending, automation, cadence, retention, fees and responsibility remain subject to testing and written scope.</w:t>
      </w:r>
    </w:p>
    <w:p>
      <w:pPr>
        <w:pStyle w:val="Heading2"/>
      </w:pPr>
      <w:r>
        <w:t>權限確認 / 権限確認 / Access confirmation</w:t>
      </w:r>
    </w:p>
    <w:tbl>
      <w:tblPr>
        <w:tblW w:type="dxa" w:w="9360"/>
        <w:tblLayout w:type="fixed"/>
        <w:tblLook w:firstColumn="1" w:firstRow="1" w:lastColumn="0" w:lastRow="0" w:noHBand="0" w:noVBand="1" w:val="04A0"/>
        <w:jc w:val="left"/>
        <w:tblInd w:type="dxa" w:w="120"/>
      </w:tblPr>
      <w:tblGrid>
        <w:gridCol w:w="2340"/>
        <w:gridCol w:w="2340"/>
        <w:gridCol w:w="1800"/>
        <w:gridCol w:w="2880"/>
      </w:tblGrid>
      <w:tr>
        <w:trPr>
          <w:tblHeader w:val="true"/>
          <w:cantSplit/>
        </w:trPr>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c>
          <w:tcPr>
            <w:tcW w:type="dxa" w:w="18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18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88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r>
    </w:tbl>
    <w:p>
      <w:r>
        <w:br w:type="page"/>
      </w:r>
    </w:p>
    <w:p>
      <w:pPr>
        <w:pStyle w:val="ToolkitKicker"/>
      </w:pPr>
      <w:r>
        <w:t>AI 協作工具包 / AI協働ツールキット / AI OPERATIONS TOOLKIT</w:t>
      </w:r>
    </w:p>
    <w:p>
      <w:pPr>
        <w:pStyle w:val="Heading1"/>
      </w:pPr>
      <w:r>
        <w:t>導入程序 / 導入手順 / Implementation process</w:t>
      </w:r>
    </w:p>
    <w:tbl>
      <w:tblPr>
        <w:tblW w:type="dxa" w:w="9360"/>
        <w:tblLayout w:type="fixed"/>
        <w:tblLook w:firstColumn="1" w:firstRow="1" w:lastColumn="0" w:lastRow="0" w:noHBand="0" w:noVBand="1" w:val="04A0"/>
        <w:jc w:val="left"/>
        <w:tblInd w:type="dxa" w:w="120"/>
      </w:tblPr>
      <w:tblGrid>
        <w:gridCol w:w="900"/>
        <w:gridCol w:w="2820"/>
        <w:gridCol w:w="2820"/>
        <w:gridCol w:w="2820"/>
      </w:tblGrid>
      <w:tr>
        <w:trPr>
          <w:tblHeader w:val="true"/>
          <w:cantSplit/>
        </w:trPr>
        <w:tc>
          <w:tcPr>
            <w:tcW w:type="dxa" w:w="9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步驟 #</w:t>
            </w:r>
            <w:r>
              <w:br/>
            </w:r>
            <w:r>
              <w:rPr>
                <w:rFonts w:ascii="Noto Sans TC" w:hAnsi="Noto Sans TC" w:eastAsia="Noto Sans TC" w:cs="Noto Sans TC"/>
                <w:b/>
                <w:color w:val="FFFFFF"/>
                <w:sz w:val="17"/>
              </w:rPr>
              <w:t>工程番号</w:t>
            </w:r>
            <w:r>
              <w:br/>
            </w:r>
            <w:r>
              <w:rPr>
                <w:rFonts w:ascii="Noto Sans TC" w:hAnsi="Noto Sans TC" w:eastAsia="Noto Sans TC" w:cs="Noto Sans TC"/>
                <w:b/>
                <w:color w:val="FFFFFF"/>
                <w:sz w:val="17"/>
              </w:rPr>
              <w:t>Step #</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01</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定義洽詢類型</w:t>
            </w:r>
          </w:p>
          <w:p>
            <w:pPr>
              <w:spacing w:after="40" w:line="254" w:lineRule="auto"/>
            </w:pPr>
            <w:r>
              <w:rPr>
                <w:rFonts w:ascii="Noto Sans TC" w:hAnsi="Noto Sans TC" w:eastAsia="Noto Sans TC" w:cs="Noto Sans TC"/>
                <w:color w:val="172426"/>
                <w:sz w:val="15"/>
              </w:rPr>
              <w:t>建立和牛、貿易、設備、食品生產、百貨與其他需求的分類規則。</w:t>
            </w:r>
          </w:p>
          <w:p>
            <w:pPr>
              <w:spacing w:after="0" w:line="240" w:lineRule="auto"/>
            </w:pPr>
            <w:r>
              <w:rPr>
                <w:rFonts w:ascii="Noto Sans TC" w:hAnsi="Noto Sans TC" w:eastAsia="Noto Sans TC" w:cs="Noto Sans TC"/>
                <w:color w:val="5D6C6D"/>
                <w:sz w:val="14"/>
              </w:rPr>
              <w:t>業務主管  |  洽詢分類字典</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相談区分を定義</w:t>
            </w:r>
          </w:p>
          <w:p>
            <w:pPr>
              <w:spacing w:after="40" w:line="254" w:lineRule="auto"/>
            </w:pPr>
            <w:r>
              <w:rPr>
                <w:rFonts w:ascii="Noto Sans TC" w:hAnsi="Noto Sans TC" w:eastAsia="Noto Sans TC" w:cs="Noto Sans TC"/>
                <w:color w:val="172426"/>
                <w:sz w:val="15"/>
              </w:rPr>
              <w:t>正式な情報源と対象範囲を確認します。</w:t>
            </w:r>
          </w:p>
          <w:p>
            <w:pPr>
              <w:spacing w:after="0" w:line="240" w:lineRule="auto"/>
            </w:pPr>
            <w:r>
              <w:rPr>
                <w:rFonts w:ascii="Noto Sans TC" w:hAnsi="Noto Sans TC" w:eastAsia="Noto Sans TC" w:cs="Noto Sans TC"/>
                <w:color w:val="5D6C6D"/>
                <w:sz w:val="14"/>
              </w:rPr>
              <w:t>業務担当者  |  対象と情報源一覧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Define enquiry categories</w:t>
            </w:r>
          </w:p>
          <w:p>
            <w:pPr>
              <w:spacing w:after="40" w:line="254" w:lineRule="auto"/>
            </w:pPr>
            <w:r>
              <w:rPr>
                <w:rFonts w:ascii="Noto Sans TC" w:hAnsi="Noto Sans TC" w:eastAsia="Noto Sans TC" w:cs="Noto Sans TC"/>
                <w:color w:val="172426"/>
                <w:sz w:val="15"/>
              </w:rPr>
              <w:t>Confirm the official source and bounded scope.</w:t>
            </w:r>
          </w:p>
          <w:p>
            <w:pPr>
              <w:spacing w:after="0" w:line="240" w:lineRule="auto"/>
            </w:pPr>
            <w:r>
              <w:rPr>
                <w:rFonts w:ascii="Noto Sans TC" w:hAnsi="Noto Sans TC" w:eastAsia="Noto Sans TC" w:cs="Noto Sans TC"/>
                <w:color w:val="5D6C6D"/>
                <w:sz w:val="14"/>
              </w:rPr>
              <w:t>Business owner  |  Scope and source list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02</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設定必填與轉交條件</w:t>
            </w:r>
          </w:p>
          <w:p>
            <w:pPr>
              <w:spacing w:after="40" w:line="254" w:lineRule="auto"/>
            </w:pPr>
            <w:r>
              <w:rPr>
                <w:rFonts w:ascii="Noto Sans TC" w:hAnsi="Noto Sans TC" w:eastAsia="Noto Sans TC" w:cs="Noto Sans TC"/>
                <w:color w:val="172426"/>
                <w:sz w:val="15"/>
              </w:rPr>
              <w:t>為各類型列出必要資料、主要負責人、備援窗口及升級條件。</w:t>
            </w:r>
          </w:p>
          <w:p>
            <w:pPr>
              <w:spacing w:after="0" w:line="240" w:lineRule="auto"/>
            </w:pPr>
            <w:r>
              <w:rPr>
                <w:rFonts w:ascii="Noto Sans TC" w:hAnsi="Noto Sans TC" w:eastAsia="Noto Sans TC" w:cs="Noto Sans TC"/>
                <w:color w:val="5D6C6D"/>
                <w:sz w:val="14"/>
              </w:rPr>
              <w:t>業務＋營運  |  分流與權責表</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必須項目と転送条件を設定</w:t>
            </w:r>
          </w:p>
          <w:p>
            <w:pPr>
              <w:spacing w:after="40" w:line="254" w:lineRule="auto"/>
            </w:pPr>
            <w:r>
              <w:rPr>
                <w:rFonts w:ascii="Noto Sans TC" w:hAnsi="Noto Sans TC" w:eastAsia="Noto Sans TC" w:cs="Noto Sans TC"/>
                <w:color w:val="172426"/>
                <w:sz w:val="15"/>
              </w:rPr>
              <w:t>必要項目、状態、権限、承認条件を定義します。</w:t>
            </w:r>
          </w:p>
          <w:p>
            <w:pPr>
              <w:spacing w:after="0" w:line="240" w:lineRule="auto"/>
            </w:pPr>
            <w:r>
              <w:rPr>
                <w:rFonts w:ascii="Noto Sans TC" w:hAnsi="Noto Sans TC" w:eastAsia="Noto Sans TC" w:cs="Noto Sans TC"/>
                <w:color w:val="5D6C6D"/>
                <w:sz w:val="14"/>
              </w:rPr>
              <w:t>業務＋承認担当  |  項目・権限・承認ルール</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Set required fields and routing</w:t>
            </w:r>
          </w:p>
          <w:p>
            <w:pPr>
              <w:spacing w:after="40" w:line="254" w:lineRule="auto"/>
            </w:pPr>
            <w:r>
              <w:rPr>
                <w:rFonts w:ascii="Noto Sans TC" w:hAnsi="Noto Sans TC" w:eastAsia="Noto Sans TC" w:cs="Noto Sans TC"/>
                <w:color w:val="172426"/>
                <w:sz w:val="15"/>
              </w:rPr>
              <w:t>Define required fields, status, access and approval conditions.</w:t>
            </w:r>
          </w:p>
          <w:p>
            <w:pPr>
              <w:spacing w:after="0" w:line="240" w:lineRule="auto"/>
            </w:pPr>
            <w:r>
              <w:rPr>
                <w:rFonts w:ascii="Noto Sans TC" w:hAnsi="Noto Sans TC" w:eastAsia="Noto Sans TC" w:cs="Noto Sans TC"/>
                <w:color w:val="5D6C6D"/>
                <w:sz w:val="14"/>
              </w:rPr>
              <w:t>Business and approval owners  |  Field, access and approval rules</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03</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測試既有洽詢</w:t>
            </w:r>
          </w:p>
          <w:p>
            <w:pPr>
              <w:spacing w:after="40" w:line="254" w:lineRule="auto"/>
            </w:pPr>
            <w:r>
              <w:rPr>
                <w:rFonts w:ascii="Noto Sans TC" w:hAnsi="Noto Sans TC" w:eastAsia="Noto Sans TC" w:cs="Noto Sans TC"/>
                <w:color w:val="172426"/>
                <w:sz w:val="15"/>
              </w:rPr>
              <w:t>用已去識別化的歷史案件檢查分類、摘要與缺件是否合理。</w:t>
            </w:r>
          </w:p>
          <w:p>
            <w:pPr>
              <w:spacing w:after="0" w:line="240" w:lineRule="auto"/>
            </w:pPr>
            <w:r>
              <w:rPr>
                <w:rFonts w:ascii="Noto Sans TC" w:hAnsi="Noto Sans TC" w:eastAsia="Noto Sans TC" w:cs="Noto Sans TC"/>
                <w:color w:val="5D6C6D"/>
                <w:sz w:val="14"/>
              </w:rPr>
              <w:t>AI 整理／業務覆核  |  測試結果與規則修正</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既存相談でテスト</w:t>
            </w:r>
          </w:p>
          <w:p>
            <w:pPr>
              <w:spacing w:after="40" w:line="254" w:lineRule="auto"/>
            </w:pPr>
            <w:r>
              <w:rPr>
                <w:rFonts w:ascii="Noto Sans TC" w:hAnsi="Noto Sans TC" w:eastAsia="Noto Sans TC" w:cs="Noto Sans TC"/>
                <w:color w:val="172426"/>
                <w:sz w:val="15"/>
              </w:rPr>
              <w:t>匿名化した実データで一度テストし、差分と不足を確認します。</w:t>
            </w:r>
          </w:p>
          <w:p>
            <w:pPr>
              <w:spacing w:after="0" w:line="240" w:lineRule="auto"/>
            </w:pPr>
            <w:r>
              <w:rPr>
                <w:rFonts w:ascii="Noto Sans TC" w:hAnsi="Noto Sans TC" w:eastAsia="Noto Sans TC" w:cs="Noto Sans TC"/>
                <w:color w:val="5D6C6D"/>
                <w:sz w:val="14"/>
              </w:rPr>
              <w:t>AI整理／担当者確認  |  初回差分・不足一覧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Test existing enquiries</w:t>
            </w:r>
          </w:p>
          <w:p>
            <w:pPr>
              <w:spacing w:after="40" w:line="254" w:lineRule="auto"/>
            </w:pPr>
            <w:r>
              <w:rPr>
                <w:rFonts w:ascii="Noto Sans TC" w:hAnsi="Noto Sans TC" w:eastAsia="Noto Sans TC" w:cs="Noto Sans TC"/>
                <w:color w:val="172426"/>
                <w:sz w:val="15"/>
              </w:rPr>
              <w:t>Run one test with de-identified real data and review differences and gaps.</w:t>
            </w:r>
          </w:p>
          <w:p>
            <w:pPr>
              <w:spacing w:after="0" w:line="240" w:lineRule="auto"/>
            </w:pPr>
            <w:r>
              <w:rPr>
                <w:rFonts w:ascii="Noto Sans TC" w:hAnsi="Noto Sans TC" w:eastAsia="Noto Sans TC" w:cs="Noto Sans TC"/>
                <w:color w:val="5D6C6D"/>
                <w:sz w:val="14"/>
              </w:rPr>
              <w:t>AI preparation / human review  |  First difference and gap report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04</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準備回覆與提案大綱</w:t>
            </w:r>
          </w:p>
          <w:p>
            <w:pPr>
              <w:spacing w:after="40" w:line="254" w:lineRule="auto"/>
            </w:pPr>
            <w:r>
              <w:rPr>
                <w:rFonts w:ascii="Noto Sans TC" w:hAnsi="Noto Sans TC" w:eastAsia="Noto Sans TC" w:cs="Noto Sans TC"/>
                <w:color w:val="172426"/>
                <w:sz w:val="15"/>
              </w:rPr>
              <w:t>依核准範本整理下一步與提案架構，不填入未確認價格、交期或承諾。</w:t>
            </w:r>
          </w:p>
          <w:p>
            <w:pPr>
              <w:spacing w:after="0" w:line="240" w:lineRule="auto"/>
            </w:pPr>
            <w:r>
              <w:rPr>
                <w:rFonts w:ascii="Noto Sans TC" w:hAnsi="Noto Sans TC" w:eastAsia="Noto Sans TC" w:cs="Noto Sans TC"/>
                <w:color w:val="5D6C6D"/>
                <w:sz w:val="14"/>
              </w:rPr>
              <w:t>AI 草擬／業務核准  |  回覆草稿與提案骨架</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返信・提案骨子を作成</w:t>
            </w:r>
          </w:p>
          <w:p>
            <w:pPr>
              <w:spacing w:after="40" w:line="254" w:lineRule="auto"/>
            </w:pPr>
            <w:r>
              <w:rPr>
                <w:rFonts w:ascii="Noto Sans TC" w:hAnsi="Noto Sans TC" w:eastAsia="Noto Sans TC" w:cs="Noto Sans TC"/>
                <w:color w:val="172426"/>
                <w:sz w:val="15"/>
              </w:rPr>
              <w:t>AIが原稿または一覧を作り、担当者が事実とリスクを確認します。</w:t>
            </w:r>
          </w:p>
          <w:p>
            <w:pPr>
              <w:spacing w:after="0" w:line="240" w:lineRule="auto"/>
            </w:pPr>
            <w:r>
              <w:rPr>
                <w:rFonts w:ascii="Noto Sans TC" w:hAnsi="Noto Sans TC" w:eastAsia="Noto Sans TC" w:cs="Noto Sans TC"/>
                <w:color w:val="5D6C6D"/>
                <w:sz w:val="14"/>
              </w:rPr>
              <w:t>AI作成／担当者承認  |  承認前成果物</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Prepare reply and proposal outline</w:t>
            </w:r>
          </w:p>
          <w:p>
            <w:pPr>
              <w:spacing w:after="40" w:line="254" w:lineRule="auto"/>
            </w:pPr>
            <w:r>
              <w:rPr>
                <w:rFonts w:ascii="Noto Sans TC" w:hAnsi="Noto Sans TC" w:eastAsia="Noto Sans TC" w:cs="Noto Sans TC"/>
                <w:color w:val="172426"/>
                <w:sz w:val="15"/>
              </w:rPr>
              <w:t>AI prepares the draft or report; authorised staff review facts and risks.</w:t>
            </w:r>
          </w:p>
          <w:p>
            <w:pPr>
              <w:spacing w:after="0" w:line="240" w:lineRule="auto"/>
            </w:pPr>
            <w:r>
              <w:rPr>
                <w:rFonts w:ascii="Noto Sans TC" w:hAnsi="Noto Sans TC" w:eastAsia="Noto Sans TC" w:cs="Noto Sans TC"/>
                <w:color w:val="5D6C6D"/>
                <w:sz w:val="14"/>
              </w:rPr>
              <w:t>AI draft / staff approval  |  Pre-approval deliverable</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05</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記錄案件進度</w:t>
            </w:r>
          </w:p>
          <w:p>
            <w:pPr>
              <w:spacing w:after="40" w:line="254" w:lineRule="auto"/>
            </w:pPr>
            <w:r>
              <w:rPr>
                <w:rFonts w:ascii="Noto Sans TC" w:hAnsi="Noto Sans TC" w:eastAsia="Noto Sans TC" w:cs="Noto Sans TC"/>
                <w:color w:val="172426"/>
                <w:sz w:val="15"/>
              </w:rPr>
              <w:t>保存負責人、待補資料、決定、下次聯絡時間及最終結果。</w:t>
            </w:r>
          </w:p>
          <w:p>
            <w:pPr>
              <w:spacing w:after="0" w:line="240" w:lineRule="auto"/>
            </w:pPr>
            <w:r>
              <w:rPr>
                <w:rFonts w:ascii="Noto Sans TC" w:hAnsi="Noto Sans TC" w:eastAsia="Noto Sans TC" w:cs="Noto Sans TC"/>
                <w:color w:val="5D6C6D"/>
                <w:sz w:val="14"/>
              </w:rPr>
              <w:t>案件負責人  |  案件追蹤記錄</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案件進捗を記録</w:t>
            </w:r>
          </w:p>
          <w:p>
            <w:pPr>
              <w:spacing w:after="40" w:line="254" w:lineRule="auto"/>
            </w:pPr>
            <w:r>
              <w:rPr>
                <w:rFonts w:ascii="Noto Sans TC" w:hAnsi="Noto Sans TC" w:eastAsia="Noto Sans TC" w:cs="Noto Sans TC"/>
                <w:color w:val="172426"/>
                <w:sz w:val="15"/>
              </w:rPr>
              <w:t>承認結果、版、担当者、次回確認日を記録します。</w:t>
            </w:r>
          </w:p>
          <w:p>
            <w:pPr>
              <w:spacing w:after="0" w:line="240" w:lineRule="auto"/>
            </w:pPr>
            <w:r>
              <w:rPr>
                <w:rFonts w:ascii="Noto Sans TC" w:hAnsi="Noto Sans TC" w:eastAsia="Noto Sans TC" w:cs="Noto Sans TC"/>
                <w:color w:val="5D6C6D"/>
                <w:sz w:val="14"/>
              </w:rPr>
              <w:t>権限を持つ担当者  |  版・承認・次回確認記録</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Record case progress</w:t>
            </w:r>
          </w:p>
          <w:p>
            <w:pPr>
              <w:spacing w:after="40" w:line="254" w:lineRule="auto"/>
            </w:pPr>
            <w:r>
              <w:rPr>
                <w:rFonts w:ascii="Noto Sans TC" w:hAnsi="Noto Sans TC" w:eastAsia="Noto Sans TC" w:cs="Noto Sans TC"/>
                <w:color w:val="172426"/>
                <w:sz w:val="15"/>
              </w:rPr>
              <w:t>Record approval, version, owner and the next review date.</w:t>
            </w:r>
          </w:p>
          <w:p>
            <w:pPr>
              <w:spacing w:after="0" w:line="240" w:lineRule="auto"/>
            </w:pPr>
            <w:r>
              <w:rPr>
                <w:rFonts w:ascii="Noto Sans TC" w:hAnsi="Noto Sans TC" w:eastAsia="Noto Sans TC" w:cs="Noto Sans TC"/>
                <w:color w:val="5D6C6D"/>
                <w:sz w:val="14"/>
              </w:rPr>
              <w:t>Authorised staff  |  Version, approval and next-review record</w:t>
            </w:r>
          </w:p>
        </w:tc>
      </w:tr>
    </w:tbl>
    <w:p>
      <w:pPr>
        <w:pStyle w:val="ToolkitKicker"/>
        <w:pageBreakBefore/>
      </w:pPr>
      <w:r>
        <w:t>可填寫範本 / 記入用テンプレート / FILLABLE TEMPLATE  04.1</w:t>
      </w:r>
    </w:p>
    <w:p>
      <w:pPr>
        <w:pStyle w:val="Heading1"/>
        <w:spacing w:before="0"/>
      </w:pPr>
      <w:r>
        <w:t>B2B 洽詢需求單</w:t>
      </w:r>
    </w:p>
    <w:p>
      <w:pPr>
        <w:pStyle w:val="ToolkitLead"/>
      </w:pPr>
      <w:r>
        <w:rPr>
          <w:rFonts w:ascii="Noto Sans TC" w:hAnsi="Noto Sans TC" w:eastAsia="Noto Sans TC" w:cs="Noto Sans TC"/>
          <w:b/>
          <w:color w:val="173F42"/>
          <w:sz w:val="21"/>
        </w:rPr>
        <w:t>B2B相談票</w:t>
      </w:r>
      <w:r>
        <w:br/>
      </w:r>
      <w:r>
        <w:rPr>
          <w:rFonts w:ascii="Noto Sans TC" w:hAnsi="Noto Sans TC" w:eastAsia="Noto Sans TC" w:cs="Noto Sans TC"/>
          <w:b/>
          <w:color w:val="5D6C6D"/>
          <w:sz w:val="20"/>
        </w:rPr>
        <w:t>B2B enquiry intake</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在第一次聯絡時收齊可供分流的基本資訊。</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初回連絡で振り分け情報を取得。</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Collect enough information for first routing.</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公司／品牌與國家</w:t>
            </w:r>
            <w:r>
              <w:br/>
            </w:r>
            <w:r>
              <w:rPr>
                <w:rFonts w:ascii="Noto Sans TC" w:hAnsi="Noto Sans TC" w:eastAsia="Noto Sans TC" w:cs="Noto Sans TC"/>
                <w:b w:val="0"/>
                <w:color w:val="172426"/>
                <w:sz w:val="16"/>
              </w:rPr>
              <w:t>会社・ブランド・国</w:t>
            </w:r>
            <w:r>
              <w:br/>
            </w:r>
            <w:r>
              <w:rPr>
                <w:rFonts w:ascii="Noto Sans TC" w:hAnsi="Noto Sans TC" w:eastAsia="Noto Sans TC" w:cs="Noto Sans TC"/>
                <w:b w:val="0"/>
                <w:color w:val="172426"/>
                <w:sz w:val="16"/>
              </w:rPr>
              <w:t>Company, brand and country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聯絡人與職務</w:t>
            </w:r>
            <w:r>
              <w:br/>
            </w:r>
            <w:r>
              <w:rPr>
                <w:rFonts w:ascii="Noto Sans TC" w:hAnsi="Noto Sans TC" w:eastAsia="Noto Sans TC" w:cs="Noto Sans TC"/>
                <w:b w:val="0"/>
                <w:color w:val="172426"/>
                <w:sz w:val="16"/>
              </w:rPr>
              <w:t>担当者・役職</w:t>
            </w:r>
            <w:r>
              <w:br/>
            </w:r>
            <w:r>
              <w:rPr>
                <w:rFonts w:ascii="Noto Sans TC" w:hAnsi="Noto Sans TC" w:eastAsia="Noto Sans TC" w:cs="Noto Sans TC"/>
                <w:b w:val="0"/>
                <w:color w:val="172426"/>
                <w:sz w:val="16"/>
              </w:rPr>
              <w:t>Contact and role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需求類型</w:t>
            </w:r>
            <w:r>
              <w:br/>
            </w:r>
            <w:r>
              <w:rPr>
                <w:rFonts w:ascii="Noto Sans TC" w:hAnsi="Noto Sans TC" w:eastAsia="Noto Sans TC" w:cs="Noto Sans TC"/>
                <w:b w:val="0"/>
                <w:color w:val="172426"/>
                <w:sz w:val="16"/>
              </w:rPr>
              <w:t>相談区分</w:t>
            </w:r>
            <w:r>
              <w:br/>
            </w:r>
            <w:r>
              <w:rPr>
                <w:rFonts w:ascii="Noto Sans TC" w:hAnsi="Noto Sans TC" w:eastAsia="Noto Sans TC" w:cs="Noto Sans TC"/>
                <w:b w:val="0"/>
                <w:color w:val="172426"/>
                <w:sz w:val="16"/>
              </w:rPr>
              <w:t>Enquiry category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商品／服務與預估規模</w:t>
            </w:r>
            <w:r>
              <w:br/>
            </w:r>
            <w:r>
              <w:rPr>
                <w:rFonts w:ascii="Noto Sans TC" w:hAnsi="Noto Sans TC" w:eastAsia="Noto Sans TC" w:cs="Noto Sans TC"/>
                <w:b w:val="0"/>
                <w:color w:val="172426"/>
                <w:sz w:val="16"/>
              </w:rPr>
              <w:t>商品・規模</w:t>
            </w:r>
            <w:r>
              <w:br/>
            </w:r>
            <w:r>
              <w:rPr>
                <w:rFonts w:ascii="Noto Sans TC" w:hAnsi="Noto Sans TC" w:eastAsia="Noto Sans TC" w:cs="Noto Sans TC"/>
                <w:b w:val="0"/>
                <w:color w:val="172426"/>
                <w:sz w:val="16"/>
              </w:rPr>
              <w:t>Product or scale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目標市場或場館</w:t>
            </w:r>
            <w:r>
              <w:br/>
            </w:r>
            <w:r>
              <w:rPr>
                <w:rFonts w:ascii="Noto Sans TC" w:hAnsi="Noto Sans TC" w:eastAsia="Noto Sans TC" w:cs="Noto Sans TC"/>
                <w:b w:val="0"/>
                <w:color w:val="172426"/>
                <w:sz w:val="16"/>
              </w:rPr>
              <w:t>市場・会場</w:t>
            </w:r>
            <w:r>
              <w:br/>
            </w:r>
            <w:r>
              <w:rPr>
                <w:rFonts w:ascii="Noto Sans TC" w:hAnsi="Noto Sans TC" w:eastAsia="Noto Sans TC" w:cs="Noto Sans TC"/>
                <w:b w:val="0"/>
                <w:color w:val="172426"/>
                <w:sz w:val="16"/>
              </w:rPr>
              <w:t>Market or venue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希望時間</w:t>
            </w:r>
            <w:r>
              <w:br/>
            </w:r>
            <w:r>
              <w:rPr>
                <w:rFonts w:ascii="Noto Sans TC" w:hAnsi="Noto Sans TC" w:eastAsia="Noto Sans TC" w:cs="Noto Sans TC"/>
                <w:b w:val="0"/>
                <w:color w:val="172426"/>
                <w:sz w:val="16"/>
              </w:rPr>
              <w:t>希望時期</w:t>
            </w:r>
            <w:r>
              <w:br/>
            </w:r>
            <w:r>
              <w:rPr>
                <w:rFonts w:ascii="Noto Sans TC" w:hAnsi="Noto Sans TC" w:eastAsia="Noto Sans TC" w:cs="Noto Sans TC"/>
                <w:b w:val="0"/>
                <w:color w:val="172426"/>
                <w:sz w:val="16"/>
              </w:rPr>
              <w:t>Timing</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現有限制</w:t>
            </w:r>
            <w:r>
              <w:br/>
            </w:r>
            <w:r>
              <w:rPr>
                <w:rFonts w:ascii="Noto Sans TC" w:hAnsi="Noto Sans TC" w:eastAsia="Noto Sans TC" w:cs="Noto Sans TC"/>
                <w:b w:val="0"/>
                <w:color w:val="172426"/>
                <w:sz w:val="16"/>
              </w:rPr>
              <w:t>制約</w:t>
            </w:r>
            <w:r>
              <w:br/>
            </w:r>
            <w:r>
              <w:rPr>
                <w:rFonts w:ascii="Noto Sans TC" w:hAnsi="Noto Sans TC" w:eastAsia="Noto Sans TC" w:cs="Noto Sans TC"/>
                <w:b w:val="0"/>
                <w:color w:val="172426"/>
                <w:sz w:val="16"/>
              </w:rPr>
              <w:t>Constraints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附件與來源</w:t>
            </w:r>
            <w:r>
              <w:br/>
            </w:r>
            <w:r>
              <w:rPr>
                <w:rFonts w:ascii="Noto Sans TC" w:hAnsi="Noto Sans TC" w:eastAsia="Noto Sans TC" w:cs="Noto Sans TC"/>
                <w:b w:val="0"/>
                <w:color w:val="172426"/>
                <w:sz w:val="16"/>
              </w:rPr>
              <w:t>添付・根拠</w:t>
            </w:r>
            <w:r>
              <w:br/>
            </w:r>
            <w:r>
              <w:rPr>
                <w:rFonts w:ascii="Noto Sans TC" w:hAnsi="Noto Sans TC" w:eastAsia="Noto Sans TC" w:cs="Noto Sans TC"/>
                <w:b w:val="0"/>
                <w:color w:val="172426"/>
                <w:sz w:val="16"/>
              </w:rPr>
              <w:t>Attachments and sources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04.2</w:t>
      </w:r>
    </w:p>
    <w:p>
      <w:pPr>
        <w:pStyle w:val="Heading1"/>
        <w:spacing w:before="0"/>
      </w:pPr>
      <w:r>
        <w:t>洽詢分流摘要</w:t>
      </w:r>
    </w:p>
    <w:p>
      <w:pPr>
        <w:pStyle w:val="ToolkitLead"/>
      </w:pPr>
      <w:r>
        <w:rPr>
          <w:rFonts w:ascii="Noto Sans TC" w:hAnsi="Noto Sans TC" w:eastAsia="Noto Sans TC" w:cs="Noto Sans TC"/>
          <w:b/>
          <w:color w:val="173F42"/>
          <w:sz w:val="21"/>
        </w:rPr>
        <w:t>相談振り分け要約</w:t>
      </w:r>
      <w:r>
        <w:br/>
      </w:r>
      <w:r>
        <w:rPr>
          <w:rFonts w:ascii="Noto Sans TC" w:hAnsi="Noto Sans TC" w:eastAsia="Noto Sans TC" w:cs="Noto Sans TC"/>
          <w:b/>
          <w:color w:val="5D6C6D"/>
          <w:sz w:val="20"/>
        </w:rPr>
        <w:t>Enquiry routing summary</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讓內部快速確認案件該由誰接手及還缺什麼。</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担当と不足情報を迅速に確認。</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Confirm who owns the case and what is missing.</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案件摘要</w:t>
            </w:r>
            <w:r>
              <w:br/>
            </w:r>
            <w:r>
              <w:rPr>
                <w:rFonts w:ascii="Noto Sans TC" w:hAnsi="Noto Sans TC" w:eastAsia="Noto Sans TC" w:cs="Noto Sans TC"/>
                <w:b w:val="0"/>
                <w:color w:val="172426"/>
                <w:sz w:val="16"/>
              </w:rPr>
              <w:t>案件要約</w:t>
            </w:r>
            <w:r>
              <w:br/>
            </w:r>
            <w:r>
              <w:rPr>
                <w:rFonts w:ascii="Noto Sans TC" w:hAnsi="Noto Sans TC" w:eastAsia="Noto Sans TC" w:cs="Noto Sans TC"/>
                <w:b w:val="0"/>
                <w:color w:val="172426"/>
                <w:sz w:val="16"/>
              </w:rPr>
              <w:t>Case summary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分類與優先程度</w:t>
            </w:r>
            <w:r>
              <w:br/>
            </w:r>
            <w:r>
              <w:rPr>
                <w:rFonts w:ascii="Noto Sans TC" w:hAnsi="Noto Sans TC" w:eastAsia="Noto Sans TC" w:cs="Noto Sans TC"/>
                <w:b w:val="0"/>
                <w:color w:val="172426"/>
                <w:sz w:val="16"/>
              </w:rPr>
              <w:t>区分・優先度</w:t>
            </w:r>
            <w:r>
              <w:br/>
            </w:r>
            <w:r>
              <w:rPr>
                <w:rFonts w:ascii="Noto Sans TC" w:hAnsi="Noto Sans TC" w:eastAsia="Noto Sans TC" w:cs="Noto Sans TC"/>
                <w:b w:val="0"/>
                <w:color w:val="172426"/>
                <w:sz w:val="16"/>
              </w:rPr>
              <w:t>Category and priority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主責公司／人員</w:t>
            </w:r>
            <w:r>
              <w:br/>
            </w:r>
            <w:r>
              <w:rPr>
                <w:rFonts w:ascii="Noto Sans TC" w:hAnsi="Noto Sans TC" w:eastAsia="Noto Sans TC" w:cs="Noto Sans TC"/>
                <w:b w:val="0"/>
                <w:color w:val="172426"/>
                <w:sz w:val="16"/>
              </w:rPr>
              <w:t>主担当</w:t>
            </w:r>
            <w:r>
              <w:br/>
            </w:r>
            <w:r>
              <w:rPr>
                <w:rFonts w:ascii="Noto Sans TC" w:hAnsi="Noto Sans TC" w:eastAsia="Noto Sans TC" w:cs="Noto Sans TC"/>
                <w:b w:val="0"/>
                <w:color w:val="172426"/>
                <w:sz w:val="16"/>
              </w:rPr>
              <w:t>Primary 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缺漏資料</w:t>
            </w:r>
            <w:r>
              <w:br/>
            </w:r>
            <w:r>
              <w:rPr>
                <w:rFonts w:ascii="Noto Sans TC" w:hAnsi="Noto Sans TC" w:eastAsia="Noto Sans TC" w:cs="Noto Sans TC"/>
                <w:b w:val="0"/>
                <w:color w:val="172426"/>
                <w:sz w:val="16"/>
              </w:rPr>
              <w:t>不足資料</w:t>
            </w:r>
            <w:r>
              <w:br/>
            </w:r>
            <w:r>
              <w:rPr>
                <w:rFonts w:ascii="Noto Sans TC" w:hAnsi="Noto Sans TC" w:eastAsia="Noto Sans TC" w:cs="Noto Sans TC"/>
                <w:b w:val="0"/>
                <w:color w:val="172426"/>
                <w:sz w:val="16"/>
              </w:rPr>
              <w:t>Missing inputs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風險與禁止承諾</w:t>
            </w:r>
            <w:r>
              <w:br/>
            </w:r>
            <w:r>
              <w:rPr>
                <w:rFonts w:ascii="Noto Sans TC" w:hAnsi="Noto Sans TC" w:eastAsia="Noto Sans TC" w:cs="Noto Sans TC"/>
                <w:b w:val="0"/>
                <w:color w:val="172426"/>
                <w:sz w:val="16"/>
              </w:rPr>
              <w:t>リスク・禁止約束</w:t>
            </w:r>
            <w:r>
              <w:br/>
            </w:r>
            <w:r>
              <w:rPr>
                <w:rFonts w:ascii="Noto Sans TC" w:hAnsi="Noto Sans TC" w:eastAsia="Noto Sans TC" w:cs="Noto Sans TC"/>
                <w:b w:val="0"/>
                <w:color w:val="172426"/>
                <w:sz w:val="16"/>
              </w:rPr>
              <w:t>Risks and prohibited commitments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下一步與期限</w:t>
            </w:r>
            <w:r>
              <w:br/>
            </w:r>
            <w:r>
              <w:rPr>
                <w:rFonts w:ascii="Noto Sans TC" w:hAnsi="Noto Sans TC" w:eastAsia="Noto Sans TC" w:cs="Noto Sans TC"/>
                <w:b w:val="0"/>
                <w:color w:val="172426"/>
                <w:sz w:val="16"/>
              </w:rPr>
              <w:t>次工程・期限</w:t>
            </w:r>
            <w:r>
              <w:br/>
            </w:r>
            <w:r>
              <w:rPr>
                <w:rFonts w:ascii="Noto Sans TC" w:hAnsi="Noto Sans TC" w:eastAsia="Noto Sans TC" w:cs="Noto Sans TC"/>
                <w:b w:val="0"/>
                <w:color w:val="172426"/>
                <w:sz w:val="16"/>
              </w:rPr>
              <w:t>Next step and due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目前狀態</w:t>
            </w:r>
            <w:r>
              <w:br/>
            </w:r>
            <w:r>
              <w:rPr>
                <w:rFonts w:ascii="Noto Sans TC" w:hAnsi="Noto Sans TC" w:eastAsia="Noto Sans TC" w:cs="Noto Sans TC"/>
                <w:b w:val="0"/>
                <w:color w:val="172426"/>
                <w:sz w:val="16"/>
              </w:rPr>
              <w:t>状態</w:t>
            </w:r>
            <w:r>
              <w:br/>
            </w:r>
            <w:r>
              <w:rPr>
                <w:rFonts w:ascii="Noto Sans TC" w:hAnsi="Noto Sans TC" w:eastAsia="Noto Sans TC" w:cs="Noto Sans TC"/>
                <w:b w:val="0"/>
                <w:color w:val="172426"/>
                <w:sz w:val="16"/>
              </w:rPr>
              <w:t>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04.3</w:t>
      </w:r>
    </w:p>
    <w:p>
      <w:pPr>
        <w:pStyle w:val="Heading1"/>
        <w:spacing w:before="0"/>
      </w:pPr>
      <w:r>
        <w:t>提案大綱核准表</w:t>
      </w:r>
    </w:p>
    <w:p>
      <w:pPr>
        <w:pStyle w:val="ToolkitLead"/>
      </w:pPr>
      <w:r>
        <w:rPr>
          <w:rFonts w:ascii="Noto Sans TC" w:hAnsi="Noto Sans TC" w:eastAsia="Noto Sans TC" w:cs="Noto Sans TC"/>
          <w:b/>
          <w:color w:val="173F42"/>
          <w:sz w:val="21"/>
        </w:rPr>
        <w:t>提案骨子承認表</w:t>
      </w:r>
      <w:r>
        <w:br/>
      </w:r>
      <w:r>
        <w:rPr>
          <w:rFonts w:ascii="Noto Sans TC" w:hAnsi="Noto Sans TC" w:eastAsia="Noto Sans TC" w:cs="Noto Sans TC"/>
          <w:b/>
          <w:color w:val="5D6C6D"/>
          <w:sz w:val="20"/>
        </w:rPr>
        <w:t>Proposal outline approval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在正式報價或合約前，先確認提案範圍與假設。</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正式見積り前に範囲と前提を確認。</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Agree scope and assumptions before a formal quote.</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合作目標</w:t>
            </w:r>
            <w:r>
              <w:br/>
            </w:r>
            <w:r>
              <w:rPr>
                <w:rFonts w:ascii="Noto Sans TC" w:hAnsi="Noto Sans TC" w:eastAsia="Noto Sans TC" w:cs="Noto Sans TC"/>
                <w:b w:val="0"/>
                <w:color w:val="172426"/>
                <w:sz w:val="16"/>
              </w:rPr>
              <w:t>協業目的</w:t>
            </w:r>
            <w:r>
              <w:br/>
            </w:r>
            <w:r>
              <w:rPr>
                <w:rFonts w:ascii="Noto Sans TC" w:hAnsi="Noto Sans TC" w:eastAsia="Noto Sans TC" w:cs="Noto Sans TC"/>
                <w:b w:val="0"/>
                <w:color w:val="172426"/>
                <w:sz w:val="16"/>
              </w:rPr>
              <w:t>Objective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建議範圍</w:t>
            </w:r>
            <w:r>
              <w:br/>
            </w:r>
            <w:r>
              <w:rPr>
                <w:rFonts w:ascii="Noto Sans TC" w:hAnsi="Noto Sans TC" w:eastAsia="Noto Sans TC" w:cs="Noto Sans TC"/>
                <w:b w:val="0"/>
                <w:color w:val="172426"/>
                <w:sz w:val="16"/>
              </w:rPr>
              <w:t>提案範囲</w:t>
            </w:r>
            <w:r>
              <w:br/>
            </w:r>
            <w:r>
              <w:rPr>
                <w:rFonts w:ascii="Noto Sans TC" w:hAnsi="Noto Sans TC" w:eastAsia="Noto Sans TC" w:cs="Noto Sans TC"/>
                <w:b w:val="0"/>
                <w:color w:val="172426"/>
                <w:sz w:val="16"/>
              </w:rPr>
              <w:t>Proposed scope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預計交付</w:t>
            </w:r>
            <w:r>
              <w:br/>
            </w:r>
            <w:r>
              <w:rPr>
                <w:rFonts w:ascii="Noto Sans TC" w:hAnsi="Noto Sans TC" w:eastAsia="Noto Sans TC" w:cs="Noto Sans TC"/>
                <w:b w:val="0"/>
                <w:color w:val="172426"/>
                <w:sz w:val="16"/>
              </w:rPr>
              <w:t>成果物</w:t>
            </w:r>
            <w:r>
              <w:br/>
            </w:r>
            <w:r>
              <w:rPr>
                <w:rFonts w:ascii="Noto Sans TC" w:hAnsi="Noto Sans TC" w:eastAsia="Noto Sans TC" w:cs="Noto Sans TC"/>
                <w:b w:val="0"/>
                <w:color w:val="172426"/>
                <w:sz w:val="16"/>
              </w:rPr>
              <w:t>Deliverables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客戶需提供事項</w:t>
            </w:r>
            <w:r>
              <w:br/>
            </w:r>
            <w:r>
              <w:rPr>
                <w:rFonts w:ascii="Noto Sans TC" w:hAnsi="Noto Sans TC" w:eastAsia="Noto Sans TC" w:cs="Noto Sans TC"/>
                <w:b w:val="0"/>
                <w:color w:val="172426"/>
                <w:sz w:val="16"/>
              </w:rPr>
              <w:t>顧客提供事項</w:t>
            </w:r>
            <w:r>
              <w:br/>
            </w:r>
            <w:r>
              <w:rPr>
                <w:rFonts w:ascii="Noto Sans TC" w:hAnsi="Noto Sans TC" w:eastAsia="Noto Sans TC" w:cs="Noto Sans TC"/>
                <w:b w:val="0"/>
                <w:color w:val="172426"/>
                <w:sz w:val="16"/>
              </w:rPr>
              <w:t>Client inputs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不包含項目</w:t>
            </w:r>
            <w:r>
              <w:br/>
            </w:r>
            <w:r>
              <w:rPr>
                <w:rFonts w:ascii="Noto Sans TC" w:hAnsi="Noto Sans TC" w:eastAsia="Noto Sans TC" w:cs="Noto Sans TC"/>
                <w:b w:val="0"/>
                <w:color w:val="172426"/>
                <w:sz w:val="16"/>
              </w:rPr>
              <w:t>対象外</w:t>
            </w:r>
            <w:r>
              <w:br/>
            </w:r>
            <w:r>
              <w:rPr>
                <w:rFonts w:ascii="Noto Sans TC" w:hAnsi="Noto Sans TC" w:eastAsia="Noto Sans TC" w:cs="Noto Sans TC"/>
                <w:b w:val="0"/>
                <w:color w:val="172426"/>
                <w:sz w:val="16"/>
              </w:rPr>
              <w:t>Exclusions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時程假設</w:t>
            </w:r>
            <w:r>
              <w:br/>
            </w:r>
            <w:r>
              <w:rPr>
                <w:rFonts w:ascii="Noto Sans TC" w:hAnsi="Noto Sans TC" w:eastAsia="Noto Sans TC" w:cs="Noto Sans TC"/>
                <w:b w:val="0"/>
                <w:color w:val="172426"/>
                <w:sz w:val="16"/>
              </w:rPr>
              <w:t>日程前提</w:t>
            </w:r>
            <w:r>
              <w:br/>
            </w:r>
            <w:r>
              <w:rPr>
                <w:rFonts w:ascii="Noto Sans TC" w:hAnsi="Noto Sans TC" w:eastAsia="Noto Sans TC" w:cs="Noto Sans TC"/>
                <w:b w:val="0"/>
                <w:color w:val="172426"/>
                <w:sz w:val="16"/>
              </w:rPr>
              <w:t>Timing assumptions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待報價項目</w:t>
            </w:r>
            <w:r>
              <w:br/>
            </w:r>
            <w:r>
              <w:rPr>
                <w:rFonts w:ascii="Noto Sans TC" w:hAnsi="Noto Sans TC" w:eastAsia="Noto Sans TC" w:cs="Noto Sans TC"/>
                <w:b w:val="0"/>
                <w:color w:val="172426"/>
                <w:sz w:val="16"/>
              </w:rPr>
              <w:t>要見積り</w:t>
            </w:r>
            <w:r>
              <w:br/>
            </w:r>
            <w:r>
              <w:rPr>
                <w:rFonts w:ascii="Noto Sans TC" w:hAnsi="Noto Sans TC" w:eastAsia="Noto Sans TC" w:cs="Noto Sans TC"/>
                <w:b w:val="0"/>
                <w:color w:val="172426"/>
                <w:sz w:val="16"/>
              </w:rPr>
              <w:t>Items pending quote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核准人</w:t>
            </w:r>
            <w:r>
              <w:br/>
            </w:r>
            <w:r>
              <w:rPr>
                <w:rFonts w:ascii="Noto Sans TC" w:hAnsi="Noto Sans TC" w:eastAsia="Noto Sans TC" w:cs="Noto Sans TC"/>
                <w:b w:val="0"/>
                <w:color w:val="172426"/>
                <w:sz w:val="16"/>
              </w:rPr>
              <w:t>承認者</w:t>
            </w:r>
            <w:r>
              <w:br/>
            </w:r>
            <w:r>
              <w:rPr>
                <w:rFonts w:ascii="Noto Sans TC" w:hAnsi="Noto Sans TC" w:eastAsia="Noto Sans TC" w:cs="Noto Sans TC"/>
                <w:b w:val="0"/>
                <w:color w:val="172426"/>
                <w:sz w:val="16"/>
              </w:rPr>
              <w:t>Approver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Noto Sans TC" w:hAnsi="Noto Sans TC" w:eastAsia="Noto Sans TC" w:cs="Noto Sans TC"/>
        <w:color w:val="5D6C6D"/>
        <w:sz w:val="16"/>
      </w:rPr>
      <w:t xml:space="preserve">v1.0.0  |  2026-08-21  |  頁 / ページ / Page </w:t>
    </w:r>
    <w:r>
      <w:rPr>
        <w:rFonts w:ascii="Noto Sans TC" w:hAnsi="Noto Sans TC" w:eastAsia="Noto Sans TC" w:cs="Noto Sans TC"/>
        <w:color w:val="5D6C6D"/>
        <w:sz w:val="16"/>
      </w:rPr>
      <w:fldChar w:fldCharType="begin"/>
      <w:instrText xml:space="preserve"> PAGE </w:instrText>
      <w:fldChar w:fldCharType="separate"/>
      <w:t>1</w:t>
      <w:fldChar w:fldCharType="end"/>
    </w:r>
    <w:r>
      <w:rPr>
        <w:rFonts w:ascii="Noto Sans TC" w:hAnsi="Noto Sans TC" w:eastAsia="Noto Sans TC" w:cs="Noto Sans TC"/>
        <w:color w:val="5D6C6D"/>
        <w:sz w:val="16"/>
      </w:rPr>
      <w:t xml:space="preserve"> / </w:t>
    </w:r>
    <w:r>
      <w:rPr>
        <w:rFonts w:ascii="Noto Sans TC" w:hAnsi="Noto Sans TC" w:eastAsia="Noto Sans TC" w:cs="Noto Sans TC"/>
        <w:color w:val="5D6C6D"/>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Noto Sans TC" w:hAnsi="Noto Sans TC" w:eastAsia="Noto Sans TC" w:cs="Noto Sans TC"/>
        <w:b/>
        <w:color w:val="102C2E"/>
        <w:sz w:val="17"/>
      </w:rPr>
      <w:t>KANEKYU  |  AI TOOLKIT 04</w:t>
    </w:r>
    <w:r>
      <w:rPr>
        <w:rFonts w:ascii="Noto Sans TC" w:hAnsi="Noto Sans TC" w:eastAsia="Noto Sans TC" w:cs="Noto Sans TC"/>
        <w:color w:val="5D6C6D"/>
        <w:sz w:val="16"/>
      </w:rPr>
      <w:tab/>
      <w:t>b2b-enquiries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before="0" w:after="120" w:line="300" w:lineRule="auto"/>
    </w:pPr>
    <w:rPr>
      <w:rFonts w:ascii="Noto Sans TC" w:hAnsi="Noto Sans TC" w:eastAsia="Noto Sans TC" w:cs="Noto Sans TC"/>
      <w:b w:val="0"/>
      <w:color w:val="1724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Noto Sans TC" w:hAnsi="Noto Sans TC" w:eastAsia="Noto Sans TC" w:cs="Noto Sans TC"/>
      <w:b/>
      <w:bCs/>
      <w:color w:val="102C2E"/>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line="276" w:lineRule="auto"/>
      <w:outlineLvl w:val="1"/>
    </w:pPr>
    <w:rPr>
      <w:rFonts w:asciiTheme="majorHAnsi" w:eastAsiaTheme="majorEastAsia" w:hAnsiTheme="majorHAnsi" w:cstheme="majorBidi" w:ascii="Noto Sans TC" w:hAnsi="Noto Sans TC" w:eastAsia="Noto Sans TC" w:cs="Noto Sans TC"/>
      <w:b/>
      <w:bCs/>
      <w:color w:val="173F4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76" w:lineRule="auto"/>
      <w:outlineLvl w:val="2"/>
    </w:pPr>
    <w:rPr>
      <w:rFonts w:asciiTheme="majorHAnsi" w:eastAsiaTheme="majorEastAsia" w:hAnsiTheme="majorHAnsi" w:cstheme="majorBidi" w:ascii="Noto Sans TC" w:hAnsi="Noto Sans TC" w:eastAsia="Noto Sans TC" w:cs="Noto Sans TC"/>
      <w:b/>
      <w:bCs/>
      <w:color w:val="173F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60" w:line="252" w:lineRule="auto" w:before="0"/>
      <w:contextualSpacing/>
    </w:pPr>
    <w:rPr>
      <w:rFonts w:asciiTheme="majorHAnsi" w:eastAsiaTheme="majorEastAsia" w:hAnsiTheme="majorHAnsi" w:cstheme="majorBidi" w:ascii="Noto Serif TC" w:hAnsi="Noto Serif TC" w:eastAsia="Noto Serif TC" w:cs="Noto Serif TC"/>
      <w:b/>
      <w:color w:val="102C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360" w:line="288" w:lineRule="auto"/>
    </w:pPr>
    <w:rPr>
      <w:rFonts w:asciiTheme="majorHAnsi" w:eastAsiaTheme="majorEastAsia" w:hAnsiTheme="majorHAnsi" w:cstheme="majorBidi" w:ascii="Noto Sans TC" w:hAnsi="Noto Sans TC" w:eastAsia="Noto Sans TC" w:cs="Noto Sans TC"/>
      <w:b w:val="0"/>
      <w:i/>
      <w:iCs/>
      <w:color w:val="5D6C6D"/>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Kicker">
    <w:name w:val="Toolkit Kicker"/>
    <w:pPr>
      <w:keepNext/>
      <w:pageBreakBefore w:val="0"/>
      <w:spacing w:before="0" w:after="80" w:line="240" w:lineRule="auto"/>
    </w:pPr>
    <w:rPr>
      <w:rFonts w:ascii="Noto Sans TC" w:hAnsi="Noto Sans TC" w:eastAsia="Noto Sans TC" w:cs="Noto Sans TC"/>
      <w:b/>
      <w:color w:val="D8A657"/>
      <w:sz w:val="18"/>
    </w:rPr>
  </w:style>
  <w:style w:type="paragraph" w:customStyle="1" w:styleId="ToolkitLead">
    <w:name w:val="Toolkit Lead"/>
    <w:pPr>
      <w:keepNext w:val="0"/>
      <w:pageBreakBefore w:val="0"/>
      <w:spacing w:before="0" w:after="160" w:line="300" w:lineRule="auto"/>
    </w:pPr>
    <w:rPr>
      <w:rFonts w:ascii="Noto Sans TC" w:hAnsi="Noto Sans TC" w:eastAsia="Noto Sans TC" w:cs="Noto Sans TC"/>
      <w:b w:val="0"/>
      <w:color w:val="172426"/>
      <w:sz w:val="23"/>
    </w:rPr>
  </w:style>
  <w:style w:type="paragraph" w:customStyle="1" w:styleId="ToolkitSmall">
    <w:name w:val="Toolkit Small"/>
    <w:pPr>
      <w:keepNext w:val="0"/>
      <w:pageBreakBefore w:val="0"/>
      <w:spacing w:before="0" w:after="60" w:line="276" w:lineRule="auto"/>
    </w:pPr>
    <w:rPr>
      <w:rFonts w:ascii="Noto Sans TC" w:hAnsi="Noto Sans TC" w:eastAsia="Noto Sans TC" w:cs="Noto Sans TC"/>
      <w:b w:val="0"/>
      <w:color w:val="5D6C6D"/>
      <w:sz w:val="17"/>
    </w:rPr>
  </w:style>
  <w:style w:type="paragraph" w:customStyle="1" w:styleId="ToolkitNote">
    <w:name w:val="Toolkit Note"/>
    <w:pPr>
      <w:keepNext w:val="0"/>
      <w:pageBreakBefore w:val="0"/>
      <w:spacing w:before="60" w:after="160" w:line="288" w:lineRule="auto"/>
    </w:pPr>
    <w:rPr>
      <w:rFonts w:ascii="Noto Sans TC" w:hAnsi="Noto Sans TC" w:eastAsia="Noto Sans TC" w:cs="Noto Sans TC"/>
      <w:b w:val="0"/>
      <w:color w:val="5D6C6D"/>
      <w:sz w:val="18"/>
    </w:rPr>
  </w:style>
  <w:style w:type="paragraph" w:customStyle="1" w:styleId="ToolkitFormLabel">
    <w:name w:val="Toolkit Form Label"/>
    <w:pPr>
      <w:keepNext w:val="0"/>
      <w:pageBreakBefore w:val="0"/>
      <w:spacing w:before="0" w:after="0" w:line="252" w:lineRule="auto"/>
    </w:pPr>
    <w:rPr>
      <w:rFonts w:ascii="Noto Sans TC" w:hAnsi="Noto Sans TC" w:eastAsia="Noto Sans TC" w:cs="Noto Sans TC"/>
      <w:b/>
      <w:color w:val="172426"/>
      <w:sz w:val="17"/>
    </w:rPr>
  </w:style>
  <w:style w:type="paragraph" w:customStyle="1" w:styleId="ToolkitFormEntry">
    <w:name w:val="Toolkit Form Entry"/>
    <w:pPr>
      <w:keepNext w:val="0"/>
      <w:pageBreakBefore w:val="0"/>
      <w:spacing w:before="0" w:after="0" w:line="252" w:lineRule="auto"/>
    </w:pPr>
    <w:rPr>
      <w:rFonts w:ascii="Noto Sans TC" w:hAnsi="Noto Sans TC" w:eastAsia="Noto Sans TC" w:cs="Noto Sans TC"/>
      <w:b w:val="0"/>
      <w:color w:val="73808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 洽詢與提案分流</dc:title>
  <dc:subject>Trilingual fillable AI operations toolkit</dc:subject>
  <dc:creator/>
  <cp:keywords>AI toolkit, trilingual, b2b-enquiries</cp:keywords>
  <dc:description>Source: lib/ai-workflows.ts</dc:description>
  <cp:lastModifiedBy/>
  <cp:revision>1</cp:revision>
  <dcterms:created xsi:type="dcterms:W3CDTF">2013-12-23T23:15:00Z</dcterms:created>
  <dcterms:modified xsi:type="dcterms:W3CDTF">2013-12-23T23:15:00Z</dcterms:modified>
  <cp:category/>
</cp:coreProperties>
</file>