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oolkitKicker"/>
      </w:pPr>
      <w:r>
        <w:t>AI 協作工具包 / AI協働ツールキット / AI OPERATIONS TOOLKIT  |  模組 / モジュール / MODULE 02</w:t>
      </w:r>
    </w:p>
    <w:p>
      <w:pPr>
        <w:pStyle w:val="Title"/>
      </w:pPr>
      <w:r>
        <w:t>展商招商與文件缺口</w:t>
      </w:r>
    </w:p>
    <w:p>
      <w:pPr>
        <w:pStyle w:val="Subtitle"/>
        <w:spacing w:after="60"/>
      </w:pPr>
      <w:r>
        <w:rPr>
          <w:rFonts w:ascii="Noto Sans TC" w:hAnsi="Noto Sans TC" w:eastAsia="Noto Sans TC" w:cs="Noto Sans TC"/>
          <w:b/>
          <w:color w:val="173F42"/>
          <w:sz w:val="26"/>
        </w:rPr>
        <w:t>出展者募集・不足資料</w:t>
      </w:r>
    </w:p>
    <w:p>
      <w:pPr>
        <w:pStyle w:val="Subtitle"/>
        <w:spacing w:after="320"/>
      </w:pPr>
      <w:r>
        <w:rPr>
          <w:rFonts w:ascii="Noto Sans TC" w:hAnsi="Noto Sans TC" w:eastAsia="Noto Sans TC" w:cs="Noto Sans TC"/>
          <w:b/>
          <w:color w:val="5D6C6D"/>
          <w:sz w:val="25"/>
        </w:rPr>
        <w:t>Exhibitor recruitment and document gaps</w:t>
      </w:r>
    </w:p>
    <w:p>
      <w:pPr>
        <w:pStyle w:val="ToolkitLead"/>
      </w:pPr>
      <w:r>
        <w:rPr>
          <w:rFonts w:ascii="Noto Sans TC" w:hAnsi="Noto Sans TC" w:eastAsia="Noto Sans TC" w:cs="Noto Sans TC"/>
          <w:b/>
          <w:color w:val="D8A657"/>
          <w:sz w:val="18"/>
        </w:rPr>
        <w:t xml:space="preserve">繁中  </w:t>
      </w:r>
      <w:r>
        <w:rPr>
          <w:rFonts w:ascii="Noto Sans TC" w:hAnsi="Noto Sans TC" w:eastAsia="Noto Sans TC" w:cs="Noto Sans TC"/>
          <w:color w:val="172426"/>
          <w:sz w:val="21"/>
        </w:rPr>
        <w:t>把展商、商品及進口相關資料整理成已收、待補、需判斷與逾期清單。</w:t>
      </w:r>
    </w:p>
    <w:p>
      <w:pPr>
        <w:pStyle w:val="ToolkitLead"/>
      </w:pPr>
      <w:r>
        <w:rPr>
          <w:rFonts w:ascii="Noto Sans TC" w:hAnsi="Noto Sans TC" w:eastAsia="Noto Sans TC" w:cs="Noto Sans TC"/>
          <w:b/>
          <w:color w:val="D8A657"/>
          <w:sz w:val="18"/>
        </w:rPr>
        <w:t xml:space="preserve">日本語  </w:t>
      </w:r>
      <w:r>
        <w:rPr>
          <w:rFonts w:ascii="Noto Sans TC" w:hAnsi="Noto Sans TC" w:eastAsia="Noto Sans TC" w:cs="Noto Sans TC"/>
          <w:color w:val="172426"/>
          <w:sz w:val="21"/>
        </w:rPr>
        <w:t>出展者、商品、輸入関連資料を受領済み・不足・要判断・期限超過に整理します。</w:t>
      </w:r>
    </w:p>
    <w:p>
      <w:pPr>
        <w:pStyle w:val="ToolkitLead"/>
      </w:pPr>
      <w:r>
        <w:rPr>
          <w:rFonts w:ascii="Noto Sans TC" w:hAnsi="Noto Sans TC" w:eastAsia="Noto Sans TC" w:cs="Noto Sans TC"/>
          <w:b/>
          <w:color w:val="D8A657"/>
          <w:sz w:val="18"/>
        </w:rPr>
        <w:t xml:space="preserve">EN  </w:t>
      </w:r>
      <w:r>
        <w:rPr>
          <w:rFonts w:ascii="Noto Sans TC" w:hAnsi="Noto Sans TC" w:eastAsia="Noto Sans TC" w:cs="Noto Sans TC"/>
          <w:color w:val="172426"/>
          <w:sz w:val="21"/>
        </w:rPr>
        <w:t>Sort exhibitor, product and import-related material into received, missing, decision-needed and overdue lists.</w:t>
      </w:r>
    </w:p>
    <w:p>
      <w:pPr>
        <w:pStyle w:val="Heading2"/>
      </w:pPr>
      <w:r>
        <w:t>文件控制 / 文書管理 / Document control</w:t>
      </w:r>
    </w:p>
    <w:tbl>
      <w:tblPr>
        <w:tblW w:type="dxa" w:w="9360"/>
        <w:tblLayout w:type="fixed"/>
        <w:tblLook w:firstColumn="1" w:firstRow="1" w:lastColumn="0" w:lastRow="0" w:noHBand="0" w:noVBand="1" w:val="04A0"/>
        <w:jc w:val="left"/>
        <w:tblInd w:type="dxa" w:w="120"/>
      </w:tblPr>
      <w:tblGrid>
        <w:gridCol w:w="1600"/>
        <w:gridCol w:w="2000"/>
        <w:gridCol w:w="2880"/>
        <w:gridCol w:w="2880"/>
      </w:tblGrid>
      <w:tr>
        <w:trPr>
          <w:tblHeader w:val="true"/>
          <w:cantSplit/>
        </w:trPr>
        <w:tc>
          <w:tcPr>
            <w:tcW w:type="dxa" w:w="16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版本 / 版 / Version</w:t>
            </w:r>
          </w:p>
        </w:tc>
        <w:tc>
          <w:tcPr>
            <w:tcW w:type="dxa" w:w="20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r>
      <w:tr>
        <w:trPr>
          <w:cantSplit/>
        </w:trPr>
        <w:tc>
          <w:tcPr>
            <w:tcW w:type="dxa" w:w="16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1.0.0</w:t>
            </w:r>
          </w:p>
        </w:tc>
        <w:tc>
          <w:tcPr>
            <w:tcW w:type="dxa" w:w="20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2026-08-21</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r>
    </w:tbl>
    <w:p>
      <w:pPr>
        <w:pStyle w:val="ToolkitNote"/>
        <w:spacing w:before="140"/>
      </w:pPr>
      <w:r>
        <w:t xml:space="preserve">狀態 / 状態 / Status:  </w:t>
      </w:r>
      <w:r>
        <w:rPr>
          <w:rFonts w:ascii="Noto Sans TC" w:hAnsi="Noto Sans TC" w:eastAsia="Noto Sans TC" w:cs="Noto Sans TC"/>
          <w:b/>
          <w:color w:val="172426"/>
          <w:sz w:val="19"/>
        </w:rPr>
        <w:t>☐ 草稿 / 下書き / Draft</w:t>
      </w:r>
      <w:r>
        <w:t xml:space="preserve">      </w:t>
      </w:r>
      <w:r>
        <w:rPr>
          <w:rFonts w:ascii="Noto Sans TC" w:hAnsi="Noto Sans TC" w:eastAsia="Noto Sans TC" w:cs="Noto Sans TC"/>
          <w:b/>
          <w:color w:val="172426"/>
          <w:sz w:val="19"/>
        </w:rPr>
        <w:t>☐ 審閱中 / 確認中 / In review</w:t>
      </w:r>
      <w:r>
        <w:t xml:space="preserve">      </w:t>
      </w:r>
      <w:r>
        <w:rPr>
          <w:rFonts w:ascii="Noto Sans TC" w:hAnsi="Noto Sans TC" w:eastAsia="Noto Sans TC" w:cs="Noto Sans TC"/>
          <w:b/>
          <w:color w:val="172426"/>
          <w:sz w:val="19"/>
        </w:rPr>
        <w:t>☐ 已核准 / 承認済み / Approved</w:t>
      </w:r>
    </w:p>
    <w:p>
      <w:pPr>
        <w:pStyle w:val="Heading2"/>
      </w:pPr>
      <w:r>
        <w:t>使用說明 / 使用方法 / How to use</w:t>
      </w:r>
    </w:p>
    <w:p>
      <w:pPr>
        <w:pStyle w:val="ToolkitNote"/>
      </w:pPr>
      <w:r>
        <w:rPr>
          <w:rFonts w:ascii="Noto Sans TC" w:hAnsi="Noto Sans TC" w:eastAsia="Noto Sans TC" w:cs="Noto Sans TC"/>
          <w:b/>
          <w:color w:val="173F42"/>
          <w:sz w:val="18"/>
        </w:rPr>
        <w:t xml:space="preserve">繁體中文: </w:t>
      </w:r>
      <w:r>
        <w:rPr>
          <w:rFonts w:ascii="Noto Sans TC" w:hAnsi="Noto Sans TC" w:eastAsia="Noto Sans TC" w:cs="Noto Sans TC"/>
          <w:color w:val="172426"/>
          <w:sz w:val="18"/>
        </w:rPr>
        <w:t>依頁面順序填寫，保留正式來源、版本、責任人與核准人。草稿、名單、數字、日期及對外內容，須在發布、寄送或執行前由獲授權人員覆核。</w:t>
      </w:r>
    </w:p>
    <w:p>
      <w:pPr>
        <w:pStyle w:val="ToolkitNote"/>
      </w:pPr>
      <w:r>
        <w:rPr>
          <w:rFonts w:ascii="Noto Sans TC" w:hAnsi="Noto Sans TC" w:eastAsia="Noto Sans TC" w:cs="Noto Sans TC"/>
          <w:b/>
          <w:color w:val="173F42"/>
          <w:sz w:val="18"/>
        </w:rPr>
        <w:t xml:space="preserve">日本語: </w:t>
      </w:r>
      <w:r>
        <w:rPr>
          <w:rFonts w:ascii="Noto Sans TC" w:hAnsi="Noto Sans TC" w:eastAsia="Noto Sans TC" w:cs="Noto Sans TC"/>
          <w:color w:val="172426"/>
          <w:sz w:val="18"/>
        </w:rPr>
        <w:t>ページ順に記入し、正式な情報源、版、担当者、承認者を残してください。原稿、名簿、数値、日付、対外内容は、公開・送信・実行前に権限を持つ担当者が確認します。</w:t>
      </w:r>
    </w:p>
    <w:p>
      <w:pPr>
        <w:pStyle w:val="ToolkitNote"/>
      </w:pPr>
      <w:r>
        <w:rPr>
          <w:rFonts w:ascii="Noto Sans TC" w:hAnsi="Noto Sans TC" w:eastAsia="Noto Sans TC" w:cs="Noto Sans TC"/>
          <w:b/>
          <w:color w:val="173F42"/>
          <w:sz w:val="18"/>
        </w:rPr>
        <w:t xml:space="preserve">English: </w:t>
      </w:r>
      <w:r>
        <w:rPr>
          <w:rFonts w:ascii="Noto Sans TC" w:hAnsi="Noto Sans TC" w:eastAsia="Noto Sans TC" w:cs="Noto Sans TC"/>
          <w:color w:val="172426"/>
          <w:sz w:val="18"/>
        </w:rPr>
        <w:t>Complete the pages in order and retain the official source, version, responsible person and approver. Authorised staff must review drafts, lists, figures, dates and external content before release, sending or action.</w:t>
      </w:r>
    </w:p>
    <w:p>
      <w:r>
        <w:br w:type="page"/>
      </w:r>
    </w:p>
    <w:p>
      <w:pPr>
        <w:pStyle w:val="ToolkitKicker"/>
      </w:pPr>
      <w:r>
        <w:t>AI 協作工具包 / AI協働ツールキット / AI OPERATIONS TOOLKIT</w:t>
      </w:r>
    </w:p>
    <w:p>
      <w:pPr>
        <w:pStyle w:val="Heading1"/>
      </w:pPr>
      <w:r>
        <w:t>模組概覽 / モジュール概要 / Module overview</w:t>
      </w:r>
    </w:p>
    <w:p>
      <w:pPr>
        <w:pStyle w:val="Heading2"/>
      </w:pPr>
      <w:r>
        <w:t>適用情境 / 適用場面 / Best for</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適合日本廠商招募、商品審查、進口前文件追蹤及多品牌同步跟進。</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日本事業者の募集、商品確認、輸入前資料、複数ブランドの進捗管理に適しています。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Japanese supplier recruitment, product review, pre-import document tracking and multi-brand follow-up.</w:t>
      </w:r>
    </w:p>
    <w:p>
      <w:pPr>
        <w:pStyle w:val="Heading2"/>
      </w:pPr>
      <w:r>
        <w:t>預期交付 / 想定成果 / Expected outcome</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讓每個案件都能看到負責人、截止日、缺件、風險與下一步，不靠零散訊息追件。</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案件ごとに担当者、期限、不足、リスク、次工程を確認できます。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Each case shows its owner, deadline, missing items, risks and next action.</w:t>
      </w:r>
    </w:p>
    <w:p>
      <w:pPr>
        <w:pStyle w:val="Heading2"/>
      </w:pPr>
      <w:r>
        <w:t>開始前需準備 / 開始前に必要 / Inputs required</w:t>
      </w:r>
    </w:p>
    <w:tbl>
      <w:tblPr>
        <w:tblW w:type="dxa" w:w="9360"/>
        <w:tblLayout w:type="fixed"/>
        <w:tblLook w:firstColumn="1" w:firstRow="1" w:lastColumn="0" w:lastRow="0" w:noHBand="0" w:noVBand="1" w:val="04A0"/>
        <w:jc w:val="left"/>
        <w:tblInd w:type="dxa" w:w="120"/>
      </w:tblPr>
      <w:tblGrid>
        <w:gridCol w:w="620"/>
        <w:gridCol w:w="2910"/>
        <w:gridCol w:w="2910"/>
        <w:gridCol w:w="2920"/>
      </w:tblGrid>
      <w:tr>
        <w:trPr>
          <w:tblHeader w:val="true"/>
          <w:cantSplit/>
        </w:trPr>
        <w:tc>
          <w:tcPr>
            <w:tcW w:type="dxa" w:w="6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9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1</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公司與品牌基本資料</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会社・ブランド情報</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Company and brand profile</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2</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商品規格、報價、中文標示與樣品狀態</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商品仕様、見積り、繁体字表示、サンプル</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Specifications, quotation, Traditional Chinese label and samples</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3</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進口相關文件、截止日與內部負責人</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輸入関連資料、期限、社内担当</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Import-related files, deadlines and internal owner</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4</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不得公開或不得由 AI 判斷的欄位</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非公開またはAI判断禁止項目</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Non-public or human-decision-only fields</w:t>
            </w:r>
          </w:p>
        </w:tc>
      </w:tr>
    </w:tbl>
    <w:p>
      <w:r>
        <w:br w:type="page"/>
      </w:r>
    </w:p>
    <w:p>
      <w:pPr>
        <w:pStyle w:val="ToolkitKicker"/>
      </w:pPr>
      <w:r>
        <w:t>AI 協作工具包 / AI協働ツールキット / AI OPERATIONS TOOLKIT</w:t>
      </w:r>
    </w:p>
    <w:p>
      <w:pPr>
        <w:pStyle w:val="Heading1"/>
      </w:pPr>
      <w:r>
        <w:t>人工覆核界線 / 人による確認範囲 / Human review boundaries</w:t>
      </w:r>
    </w:p>
    <w:p>
      <w:pPr>
        <w:pStyle w:val="Heading2"/>
      </w:pPr>
      <w:r>
        <w:t>人工覆核界線 / 人による確認範囲 / Human review boundaries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AI 不判定商品一定可以進口、販售或參展</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輸入・販売・出展可否をAIが決定しない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AI does not decide import, sale or exhibitor eligibility</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食品標示、輸入查驗與合約條件由專業或授權人員決定</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表示、輸入、契約は専門・権限者が判断</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Labelling, import and contracts require qualified or authorised review</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對外追件內容需由案件負責人確認後送出</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対外連絡は案件担当者が承認</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Case owners approve external follow-up</w:t>
      </w:r>
    </w:p>
    <w:p>
      <w:pPr>
        <w:pStyle w:val="Heading2"/>
      </w:pPr>
      <w:r>
        <w:t>範圍聲明 / 範囲説明 / Scope statement</w:t>
      </w:r>
    </w:p>
    <w:p>
      <w:pPr>
        <w:pStyle w:val="ToolkitNote"/>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17"/>
        </w:rPr>
        <w:t>以上為可評估、可逐步導入的工作方式，不代表目前網站已連接客戶、訂單、庫存、財務、LINE 或 Email 系統。實際資料存取、發送、自動化、頻率、保存期限、費用與責任，以測試結果及書面合作範圍為準。</w:t>
      </w:r>
    </w:p>
    <w:p>
      <w:pPr>
        <w:pStyle w:val="ToolkitNote"/>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17"/>
        </w:rPr>
        <w:t>上記は評価・段階導入が可能な業務案であり、現在のサイトが顧客、受注、在庫、会計、LINE、メール各システムと接続済みであることを示しません。アクセス、送信、自動化、頻度、保存期間、費用、責任はテスト結果と書面合意に基づきます。</w:t>
      </w:r>
    </w:p>
    <w:p>
      <w:pPr>
        <w:pStyle w:val="ToolkitNote"/>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17"/>
        </w:rPr>
        <w:t>These are workflows available for assessment and phased introduction. They do not imply that the current website is connected to customer, order, inventory, finance, LINE or email systems. Data access, sending, automation, cadence, retention, fees and responsibility remain subject to testing and written scope.</w:t>
      </w:r>
    </w:p>
    <w:p>
      <w:pPr>
        <w:pStyle w:val="Heading2"/>
      </w:pPr>
      <w:r>
        <w:t>權限確認 / 権限確認 / Access confirmation</w:t>
      </w:r>
    </w:p>
    <w:tbl>
      <w:tblPr>
        <w:tblW w:type="dxa" w:w="9360"/>
        <w:tblLayout w:type="fixed"/>
        <w:tblLook w:firstColumn="1" w:firstRow="1" w:lastColumn="0" w:lastRow="0" w:noHBand="0" w:noVBand="1" w:val="04A0"/>
        <w:jc w:val="left"/>
        <w:tblInd w:type="dxa" w:w="120"/>
      </w:tblPr>
      <w:tblGrid>
        <w:gridCol w:w="2340"/>
        <w:gridCol w:w="2340"/>
        <w:gridCol w:w="1800"/>
        <w:gridCol w:w="2880"/>
      </w:tblGrid>
      <w:tr>
        <w:trPr>
          <w:tblHeader w:val="true"/>
          <w:cantSplit/>
        </w:trPr>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c>
          <w:tcPr>
            <w:tcW w:type="dxa" w:w="18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18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88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r>
    </w:tbl>
    <w:p>
      <w:r>
        <w:br w:type="page"/>
      </w:r>
    </w:p>
    <w:p>
      <w:pPr>
        <w:pStyle w:val="ToolkitKicker"/>
      </w:pPr>
      <w:r>
        <w:t>AI 協作工具包 / AI協働ツールキット / AI OPERATIONS TOOLKIT</w:t>
      </w:r>
    </w:p>
    <w:p>
      <w:pPr>
        <w:pStyle w:val="Heading1"/>
      </w:pPr>
      <w:r>
        <w:t>導入程序 / 導入手順 / Implementation process</w:t>
      </w:r>
    </w:p>
    <w:tbl>
      <w:tblPr>
        <w:tblW w:type="dxa" w:w="9360"/>
        <w:tblLayout w:type="fixed"/>
        <w:tblLook w:firstColumn="1" w:firstRow="1" w:lastColumn="0" w:lastRow="0" w:noHBand="0" w:noVBand="1" w:val="04A0"/>
        <w:jc w:val="left"/>
        <w:tblInd w:type="dxa" w:w="120"/>
      </w:tblPr>
      <w:tblGrid>
        <w:gridCol w:w="900"/>
        <w:gridCol w:w="2820"/>
        <w:gridCol w:w="2820"/>
        <w:gridCol w:w="2820"/>
      </w:tblGrid>
      <w:tr>
        <w:trPr>
          <w:tblHeader w:val="true"/>
          <w:cantSplit/>
        </w:trPr>
        <w:tc>
          <w:tcPr>
            <w:tcW w:type="dxa" w:w="9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步驟 #</w:t>
            </w:r>
            <w:r>
              <w:br/>
            </w:r>
            <w:r>
              <w:rPr>
                <w:rFonts w:ascii="Noto Sans TC" w:hAnsi="Noto Sans TC" w:eastAsia="Noto Sans TC" w:cs="Noto Sans TC"/>
                <w:b/>
                <w:color w:val="FFFFFF"/>
                <w:sz w:val="17"/>
              </w:rPr>
              <w:t>工程番号</w:t>
            </w:r>
            <w:r>
              <w:br/>
            </w:r>
            <w:r>
              <w:rPr>
                <w:rFonts w:ascii="Noto Sans TC" w:hAnsi="Noto Sans TC" w:eastAsia="Noto Sans TC" w:cs="Noto Sans TC"/>
                <w:b/>
                <w:color w:val="FFFFFF"/>
                <w:sz w:val="17"/>
              </w:rPr>
              <w:t>Step #</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01</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建立案件與商品分類</w:t>
            </w:r>
          </w:p>
          <w:p>
            <w:pPr>
              <w:spacing w:after="40" w:line="254" w:lineRule="auto"/>
            </w:pPr>
            <w:r>
              <w:rPr>
                <w:rFonts w:ascii="Noto Sans TC" w:hAnsi="Noto Sans TC" w:eastAsia="Noto Sans TC" w:cs="Noto Sans TC"/>
                <w:color w:val="172426"/>
                <w:sz w:val="15"/>
              </w:rPr>
              <w:t>先確認展商、品牌、商品及預計參與活動的基本關係。</w:t>
            </w:r>
          </w:p>
          <w:p>
            <w:pPr>
              <w:spacing w:after="0" w:line="240" w:lineRule="auto"/>
            </w:pPr>
            <w:r>
              <w:rPr>
                <w:rFonts w:ascii="Noto Sans TC" w:hAnsi="Noto Sans TC" w:eastAsia="Noto Sans TC" w:cs="Noto Sans TC"/>
                <w:color w:val="5D6C6D"/>
                <w:sz w:val="14"/>
              </w:rPr>
              <w:t>招商窗口  |  展商案件清單</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案件と商品を分類</w:t>
            </w:r>
          </w:p>
          <w:p>
            <w:pPr>
              <w:spacing w:after="40" w:line="254" w:lineRule="auto"/>
            </w:pPr>
            <w:r>
              <w:rPr>
                <w:rFonts w:ascii="Noto Sans TC" w:hAnsi="Noto Sans TC" w:eastAsia="Noto Sans TC" w:cs="Noto Sans TC"/>
                <w:color w:val="172426"/>
                <w:sz w:val="15"/>
              </w:rPr>
              <w:t>正式な情報源と対象範囲を確認します。</w:t>
            </w:r>
          </w:p>
          <w:p>
            <w:pPr>
              <w:spacing w:after="0" w:line="240" w:lineRule="auto"/>
            </w:pPr>
            <w:r>
              <w:rPr>
                <w:rFonts w:ascii="Noto Sans TC" w:hAnsi="Noto Sans TC" w:eastAsia="Noto Sans TC" w:cs="Noto Sans TC"/>
                <w:color w:val="5D6C6D"/>
                <w:sz w:val="14"/>
              </w:rPr>
              <w:t>業務担当者  |  対象と情報源一覧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Classify cases and products</w:t>
            </w:r>
          </w:p>
          <w:p>
            <w:pPr>
              <w:spacing w:after="40" w:line="254" w:lineRule="auto"/>
            </w:pPr>
            <w:r>
              <w:rPr>
                <w:rFonts w:ascii="Noto Sans TC" w:hAnsi="Noto Sans TC" w:eastAsia="Noto Sans TC" w:cs="Noto Sans TC"/>
                <w:color w:val="172426"/>
                <w:sz w:val="15"/>
              </w:rPr>
              <w:t>Confirm the official source and bounded scope.</w:t>
            </w:r>
          </w:p>
          <w:p>
            <w:pPr>
              <w:spacing w:after="0" w:line="240" w:lineRule="auto"/>
            </w:pPr>
            <w:r>
              <w:rPr>
                <w:rFonts w:ascii="Noto Sans TC" w:hAnsi="Noto Sans TC" w:eastAsia="Noto Sans TC" w:cs="Noto Sans TC"/>
                <w:color w:val="5D6C6D"/>
                <w:sz w:val="14"/>
              </w:rPr>
              <w:t>Business owner  |  Scope and source list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02</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定義文件檢核表</w:t>
            </w:r>
          </w:p>
          <w:p>
            <w:pPr>
              <w:spacing w:after="40" w:line="254" w:lineRule="auto"/>
            </w:pPr>
            <w:r>
              <w:rPr>
                <w:rFonts w:ascii="Noto Sans TC" w:hAnsi="Noto Sans TC" w:eastAsia="Noto Sans TC" w:cs="Noto Sans TC"/>
                <w:color w:val="172426"/>
                <w:sz w:val="15"/>
              </w:rPr>
              <w:t>依商品類型列出必需、條件式與僅供人工判斷的文件。</w:t>
            </w:r>
          </w:p>
          <w:p>
            <w:pPr>
              <w:spacing w:after="0" w:line="240" w:lineRule="auto"/>
            </w:pPr>
            <w:r>
              <w:rPr>
                <w:rFonts w:ascii="Noto Sans TC" w:hAnsi="Noto Sans TC" w:eastAsia="Noto Sans TC" w:cs="Noto Sans TC"/>
                <w:color w:val="5D6C6D"/>
                <w:sz w:val="14"/>
              </w:rPr>
              <w:t>業務＋進口／標示人員  |  文件項目與判斷責任表</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資料確認表を定義</w:t>
            </w:r>
          </w:p>
          <w:p>
            <w:pPr>
              <w:spacing w:after="40" w:line="254" w:lineRule="auto"/>
            </w:pPr>
            <w:r>
              <w:rPr>
                <w:rFonts w:ascii="Noto Sans TC" w:hAnsi="Noto Sans TC" w:eastAsia="Noto Sans TC" w:cs="Noto Sans TC"/>
                <w:color w:val="172426"/>
                <w:sz w:val="15"/>
              </w:rPr>
              <w:t>必要項目、状態、権限、承認条件を定義します。</w:t>
            </w:r>
          </w:p>
          <w:p>
            <w:pPr>
              <w:spacing w:after="0" w:line="240" w:lineRule="auto"/>
            </w:pPr>
            <w:r>
              <w:rPr>
                <w:rFonts w:ascii="Noto Sans TC" w:hAnsi="Noto Sans TC" w:eastAsia="Noto Sans TC" w:cs="Noto Sans TC"/>
                <w:color w:val="5D6C6D"/>
                <w:sz w:val="14"/>
              </w:rPr>
              <w:t>業務＋承認担当  |  項目・権限・承認ルール</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Define the document checklist</w:t>
            </w:r>
          </w:p>
          <w:p>
            <w:pPr>
              <w:spacing w:after="40" w:line="254" w:lineRule="auto"/>
            </w:pPr>
            <w:r>
              <w:rPr>
                <w:rFonts w:ascii="Noto Sans TC" w:hAnsi="Noto Sans TC" w:eastAsia="Noto Sans TC" w:cs="Noto Sans TC"/>
                <w:color w:val="172426"/>
                <w:sz w:val="15"/>
              </w:rPr>
              <w:t>Define required fields, status, access and approval conditions.</w:t>
            </w:r>
          </w:p>
          <w:p>
            <w:pPr>
              <w:spacing w:after="0" w:line="240" w:lineRule="auto"/>
            </w:pPr>
            <w:r>
              <w:rPr>
                <w:rFonts w:ascii="Noto Sans TC" w:hAnsi="Noto Sans TC" w:eastAsia="Noto Sans TC" w:cs="Noto Sans TC"/>
                <w:color w:val="5D6C6D"/>
                <w:sz w:val="14"/>
              </w:rPr>
              <w:t>Business and approval owners  |  Field, access and approval rules</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03</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匯入已授權資料</w:t>
            </w:r>
          </w:p>
          <w:p>
            <w:pPr>
              <w:spacing w:after="40" w:line="254" w:lineRule="auto"/>
            </w:pPr>
            <w:r>
              <w:rPr>
                <w:rFonts w:ascii="Noto Sans TC" w:hAnsi="Noto Sans TC" w:eastAsia="Noto Sans TC" w:cs="Noto Sans TC"/>
                <w:color w:val="172426"/>
                <w:sz w:val="15"/>
              </w:rPr>
              <w:t>只整理公司允許使用的名單、附件狀態與截止日，不擴張資料用途。</w:t>
            </w:r>
          </w:p>
          <w:p>
            <w:pPr>
              <w:spacing w:after="0" w:line="240" w:lineRule="auto"/>
            </w:pPr>
            <w:r>
              <w:rPr>
                <w:rFonts w:ascii="Noto Sans TC" w:hAnsi="Noto Sans TC" w:eastAsia="Noto Sans TC" w:cs="Noto Sans TC"/>
                <w:color w:val="5D6C6D"/>
                <w:sz w:val="14"/>
              </w:rPr>
              <w:t>資料管理人員  |  已收／待補／需判斷狀態</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承認済み情報を取り込む</w:t>
            </w:r>
          </w:p>
          <w:p>
            <w:pPr>
              <w:spacing w:after="40" w:line="254" w:lineRule="auto"/>
            </w:pPr>
            <w:r>
              <w:rPr>
                <w:rFonts w:ascii="Noto Sans TC" w:hAnsi="Noto Sans TC" w:eastAsia="Noto Sans TC" w:cs="Noto Sans TC"/>
                <w:color w:val="172426"/>
                <w:sz w:val="15"/>
              </w:rPr>
              <w:t>匿名化した実データで一度テストし、差分と不足を確認します。</w:t>
            </w:r>
          </w:p>
          <w:p>
            <w:pPr>
              <w:spacing w:after="0" w:line="240" w:lineRule="auto"/>
            </w:pPr>
            <w:r>
              <w:rPr>
                <w:rFonts w:ascii="Noto Sans TC" w:hAnsi="Noto Sans TC" w:eastAsia="Noto Sans TC" w:cs="Noto Sans TC"/>
                <w:color w:val="5D6C6D"/>
                <w:sz w:val="14"/>
              </w:rPr>
              <w:t>AI整理／担当者確認  |  初回差分・不足一覧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Load authorised information</w:t>
            </w:r>
          </w:p>
          <w:p>
            <w:pPr>
              <w:spacing w:after="40" w:line="254" w:lineRule="auto"/>
            </w:pPr>
            <w:r>
              <w:rPr>
                <w:rFonts w:ascii="Noto Sans TC" w:hAnsi="Noto Sans TC" w:eastAsia="Noto Sans TC" w:cs="Noto Sans TC"/>
                <w:color w:val="172426"/>
                <w:sz w:val="15"/>
              </w:rPr>
              <w:t>Run one test with de-identified real data and review differences and gaps.</w:t>
            </w:r>
          </w:p>
          <w:p>
            <w:pPr>
              <w:spacing w:after="0" w:line="240" w:lineRule="auto"/>
            </w:pPr>
            <w:r>
              <w:rPr>
                <w:rFonts w:ascii="Noto Sans TC" w:hAnsi="Noto Sans TC" w:eastAsia="Noto Sans TC" w:cs="Noto Sans TC"/>
                <w:color w:val="5D6C6D"/>
                <w:sz w:val="14"/>
              </w:rPr>
              <w:t>AI preparation / human review  |  First difference and gap report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04</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產出追件與風險摘要</w:t>
            </w:r>
          </w:p>
          <w:p>
            <w:pPr>
              <w:spacing w:after="40" w:line="254" w:lineRule="auto"/>
            </w:pPr>
            <w:r>
              <w:rPr>
                <w:rFonts w:ascii="Noto Sans TC" w:hAnsi="Noto Sans TC" w:eastAsia="Noto Sans TC" w:cs="Noto Sans TC"/>
                <w:color w:val="172426"/>
                <w:sz w:val="15"/>
              </w:rPr>
              <w:t>標示缺件、相互矛盾、逾期及會影響時程的項目，準備追件草稿。</w:t>
            </w:r>
          </w:p>
          <w:p>
            <w:pPr>
              <w:spacing w:after="0" w:line="240" w:lineRule="auto"/>
            </w:pPr>
            <w:r>
              <w:rPr>
                <w:rFonts w:ascii="Noto Sans TC" w:hAnsi="Noto Sans TC" w:eastAsia="Noto Sans TC" w:cs="Noto Sans TC"/>
                <w:color w:val="5D6C6D"/>
                <w:sz w:val="14"/>
              </w:rPr>
              <w:t>AI 整理／業務覆核  |  追件草稿與風險清單</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督促・リスクを要約</w:t>
            </w:r>
          </w:p>
          <w:p>
            <w:pPr>
              <w:spacing w:after="40" w:line="254" w:lineRule="auto"/>
            </w:pPr>
            <w:r>
              <w:rPr>
                <w:rFonts w:ascii="Noto Sans TC" w:hAnsi="Noto Sans TC" w:eastAsia="Noto Sans TC" w:cs="Noto Sans TC"/>
                <w:color w:val="172426"/>
                <w:sz w:val="15"/>
              </w:rPr>
              <w:t>AIが原稿または一覧を作り、担当者が事実とリスクを確認します。</w:t>
            </w:r>
          </w:p>
          <w:p>
            <w:pPr>
              <w:spacing w:after="0" w:line="240" w:lineRule="auto"/>
            </w:pPr>
            <w:r>
              <w:rPr>
                <w:rFonts w:ascii="Noto Sans TC" w:hAnsi="Noto Sans TC" w:eastAsia="Noto Sans TC" w:cs="Noto Sans TC"/>
                <w:color w:val="5D6C6D"/>
                <w:sz w:val="14"/>
              </w:rPr>
              <w:t>AI作成／担当者承認  |  承認前成果物</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Summarise follow-up and risk</w:t>
            </w:r>
          </w:p>
          <w:p>
            <w:pPr>
              <w:spacing w:after="40" w:line="254" w:lineRule="auto"/>
            </w:pPr>
            <w:r>
              <w:rPr>
                <w:rFonts w:ascii="Noto Sans TC" w:hAnsi="Noto Sans TC" w:eastAsia="Noto Sans TC" w:cs="Noto Sans TC"/>
                <w:color w:val="172426"/>
                <w:sz w:val="15"/>
              </w:rPr>
              <w:t>AI prepares the draft or report; authorised staff review facts and risks.</w:t>
            </w:r>
          </w:p>
          <w:p>
            <w:pPr>
              <w:spacing w:after="0" w:line="240" w:lineRule="auto"/>
            </w:pPr>
            <w:r>
              <w:rPr>
                <w:rFonts w:ascii="Noto Sans TC" w:hAnsi="Noto Sans TC" w:eastAsia="Noto Sans TC" w:cs="Noto Sans TC"/>
                <w:color w:val="5D6C6D"/>
                <w:sz w:val="14"/>
              </w:rPr>
              <w:t>AI draft / staff approval  |  Pre-approval deliverable</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05</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人工決定是否推進</w:t>
            </w:r>
          </w:p>
          <w:p>
            <w:pPr>
              <w:spacing w:after="40" w:line="254" w:lineRule="auto"/>
            </w:pPr>
            <w:r>
              <w:rPr>
                <w:rFonts w:ascii="Noto Sans TC" w:hAnsi="Noto Sans TC" w:eastAsia="Noto Sans TC" w:cs="Noto Sans TC"/>
                <w:color w:val="172426"/>
                <w:sz w:val="15"/>
              </w:rPr>
              <w:t>由業務或合格專業人員確認招募、標示、進口與合作條件。</w:t>
            </w:r>
          </w:p>
          <w:p>
            <w:pPr>
              <w:spacing w:after="0" w:line="240" w:lineRule="auto"/>
            </w:pPr>
            <w:r>
              <w:rPr>
                <w:rFonts w:ascii="Noto Sans TC" w:hAnsi="Noto Sans TC" w:eastAsia="Noto Sans TC" w:cs="Noto Sans TC"/>
                <w:color w:val="5D6C6D"/>
                <w:sz w:val="14"/>
              </w:rPr>
              <w:t>獲授權業務／專業人員  |  案件決定與下一步</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担当者が進行可否を決定</w:t>
            </w:r>
          </w:p>
          <w:p>
            <w:pPr>
              <w:spacing w:after="40" w:line="254" w:lineRule="auto"/>
            </w:pPr>
            <w:r>
              <w:rPr>
                <w:rFonts w:ascii="Noto Sans TC" w:hAnsi="Noto Sans TC" w:eastAsia="Noto Sans TC" w:cs="Noto Sans TC"/>
                <w:color w:val="172426"/>
                <w:sz w:val="15"/>
              </w:rPr>
              <w:t>承認結果、版、担当者、次回確認日を記録します。</w:t>
            </w:r>
          </w:p>
          <w:p>
            <w:pPr>
              <w:spacing w:after="0" w:line="240" w:lineRule="auto"/>
            </w:pPr>
            <w:r>
              <w:rPr>
                <w:rFonts w:ascii="Noto Sans TC" w:hAnsi="Noto Sans TC" w:eastAsia="Noto Sans TC" w:cs="Noto Sans TC"/>
                <w:color w:val="5D6C6D"/>
                <w:sz w:val="14"/>
              </w:rPr>
              <w:t>権限を持つ担当者  |  版・承認・次回確認記録</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Authorised staff decide progression</w:t>
            </w:r>
          </w:p>
          <w:p>
            <w:pPr>
              <w:spacing w:after="40" w:line="254" w:lineRule="auto"/>
            </w:pPr>
            <w:r>
              <w:rPr>
                <w:rFonts w:ascii="Noto Sans TC" w:hAnsi="Noto Sans TC" w:eastAsia="Noto Sans TC" w:cs="Noto Sans TC"/>
                <w:color w:val="172426"/>
                <w:sz w:val="15"/>
              </w:rPr>
              <w:t>Record approval, version, owner and the next review date.</w:t>
            </w:r>
          </w:p>
          <w:p>
            <w:pPr>
              <w:spacing w:after="0" w:line="240" w:lineRule="auto"/>
            </w:pPr>
            <w:r>
              <w:rPr>
                <w:rFonts w:ascii="Noto Sans TC" w:hAnsi="Noto Sans TC" w:eastAsia="Noto Sans TC" w:cs="Noto Sans TC"/>
                <w:color w:val="5D6C6D"/>
                <w:sz w:val="14"/>
              </w:rPr>
              <w:t>Authorised staff  |  Version, approval and next-review record</w:t>
            </w:r>
          </w:p>
        </w:tc>
      </w:tr>
    </w:tbl>
    <w:p>
      <w:pPr>
        <w:pStyle w:val="ToolkitKicker"/>
        <w:pageBreakBefore/>
      </w:pPr>
      <w:r>
        <w:t>可填寫範本 / 記入用テンプレート / FILLABLE TEMPLATE  02.1</w:t>
      </w:r>
    </w:p>
    <w:p>
      <w:pPr>
        <w:pStyle w:val="Heading1"/>
        <w:spacing w:before="0"/>
      </w:pPr>
      <w:r>
        <w:t>展商／品牌案件卡</w:t>
      </w:r>
    </w:p>
    <w:p>
      <w:pPr>
        <w:pStyle w:val="ToolkitLead"/>
      </w:pPr>
      <w:r>
        <w:rPr>
          <w:rFonts w:ascii="Noto Sans TC" w:hAnsi="Noto Sans TC" w:eastAsia="Noto Sans TC" w:cs="Noto Sans TC"/>
          <w:b/>
          <w:color w:val="173F42"/>
          <w:sz w:val="21"/>
        </w:rPr>
        <w:t>出展者・ブランド案件票</w:t>
      </w:r>
      <w:r>
        <w:br/>
      </w:r>
      <w:r>
        <w:rPr>
          <w:rFonts w:ascii="Noto Sans TC" w:hAnsi="Noto Sans TC" w:eastAsia="Noto Sans TC" w:cs="Noto Sans TC"/>
          <w:b/>
          <w:color w:val="5D6C6D"/>
          <w:sz w:val="20"/>
        </w:rPr>
        <w:t>Exhibitor and brand case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讓招商團隊用同一組欄位理解每個合作案件。</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各案件を共通項目で把握。</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Understand each case through the same fields.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公司與品牌名稱</w:t>
            </w:r>
            <w:r>
              <w:br/>
            </w:r>
            <w:r>
              <w:rPr>
                <w:rFonts w:ascii="Noto Sans TC" w:hAnsi="Noto Sans TC" w:eastAsia="Noto Sans TC" w:cs="Noto Sans TC"/>
                <w:b w:val="0"/>
                <w:color w:val="172426"/>
                <w:sz w:val="16"/>
              </w:rPr>
              <w:t>会社・ブランド</w:t>
            </w:r>
            <w:r>
              <w:br/>
            </w:r>
            <w:r>
              <w:rPr>
                <w:rFonts w:ascii="Noto Sans TC" w:hAnsi="Noto Sans TC" w:eastAsia="Noto Sans TC" w:cs="Noto Sans TC"/>
                <w:b w:val="0"/>
                <w:color w:val="172426"/>
                <w:sz w:val="16"/>
              </w:rPr>
              <w:t>Company and brand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國家／地區</w:t>
            </w:r>
            <w:r>
              <w:br/>
            </w:r>
            <w:r>
              <w:rPr>
                <w:rFonts w:ascii="Noto Sans TC" w:hAnsi="Noto Sans TC" w:eastAsia="Noto Sans TC" w:cs="Noto Sans TC"/>
                <w:b w:val="0"/>
                <w:color w:val="172426"/>
                <w:sz w:val="16"/>
              </w:rPr>
              <w:t>国・地域</w:t>
            </w:r>
            <w:r>
              <w:br/>
            </w:r>
            <w:r>
              <w:rPr>
                <w:rFonts w:ascii="Noto Sans TC" w:hAnsi="Noto Sans TC" w:eastAsia="Noto Sans TC" w:cs="Noto Sans TC"/>
                <w:b w:val="0"/>
                <w:color w:val="172426"/>
                <w:sz w:val="16"/>
              </w:rPr>
              <w:t>Country or region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主要聯絡人</w:t>
            </w:r>
            <w:r>
              <w:br/>
            </w:r>
            <w:r>
              <w:rPr>
                <w:rFonts w:ascii="Noto Sans TC" w:hAnsi="Noto Sans TC" w:eastAsia="Noto Sans TC" w:cs="Noto Sans TC"/>
                <w:b w:val="0"/>
                <w:color w:val="172426"/>
                <w:sz w:val="16"/>
              </w:rPr>
              <w:t>担当者</w:t>
            </w:r>
            <w:r>
              <w:br/>
            </w:r>
            <w:r>
              <w:rPr>
                <w:rFonts w:ascii="Noto Sans TC" w:hAnsi="Noto Sans TC" w:eastAsia="Noto Sans TC" w:cs="Noto Sans TC"/>
                <w:b w:val="0"/>
                <w:color w:val="172426"/>
                <w:sz w:val="16"/>
              </w:rPr>
              <w:t>Contact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商品類別</w:t>
            </w:r>
            <w:r>
              <w:br/>
            </w:r>
            <w:r>
              <w:rPr>
                <w:rFonts w:ascii="Noto Sans TC" w:hAnsi="Noto Sans TC" w:eastAsia="Noto Sans TC" w:cs="Noto Sans TC"/>
                <w:b w:val="0"/>
                <w:color w:val="172426"/>
                <w:sz w:val="16"/>
              </w:rPr>
              <w:t>商品区分</w:t>
            </w:r>
            <w:r>
              <w:br/>
            </w:r>
            <w:r>
              <w:rPr>
                <w:rFonts w:ascii="Noto Sans TC" w:hAnsi="Noto Sans TC" w:eastAsia="Noto Sans TC" w:cs="Noto Sans TC"/>
                <w:b w:val="0"/>
                <w:color w:val="172426"/>
                <w:sz w:val="16"/>
              </w:rPr>
              <w:t>Product category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目標活動與日期</w:t>
            </w:r>
            <w:r>
              <w:br/>
            </w:r>
            <w:r>
              <w:rPr>
                <w:rFonts w:ascii="Noto Sans TC" w:hAnsi="Noto Sans TC" w:eastAsia="Noto Sans TC" w:cs="Noto Sans TC"/>
                <w:b w:val="0"/>
                <w:color w:val="172426"/>
                <w:sz w:val="16"/>
              </w:rPr>
              <w:t>対象催事</w:t>
            </w:r>
            <w:r>
              <w:br/>
            </w:r>
            <w:r>
              <w:rPr>
                <w:rFonts w:ascii="Noto Sans TC" w:hAnsi="Noto Sans TC" w:eastAsia="Noto Sans TC" w:cs="Noto Sans TC"/>
                <w:b w:val="0"/>
                <w:color w:val="172426"/>
                <w:sz w:val="16"/>
              </w:rPr>
              <w:t>Target fair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合作目的</w:t>
            </w:r>
            <w:r>
              <w:br/>
            </w:r>
            <w:r>
              <w:rPr>
                <w:rFonts w:ascii="Noto Sans TC" w:hAnsi="Noto Sans TC" w:eastAsia="Noto Sans TC" w:cs="Noto Sans TC"/>
                <w:b w:val="0"/>
                <w:color w:val="172426"/>
                <w:sz w:val="16"/>
              </w:rPr>
              <w:t>協業目的</w:t>
            </w:r>
            <w:r>
              <w:br/>
            </w:r>
            <w:r>
              <w:rPr>
                <w:rFonts w:ascii="Noto Sans TC" w:hAnsi="Noto Sans TC" w:eastAsia="Noto Sans TC" w:cs="Noto Sans TC"/>
                <w:b w:val="0"/>
                <w:color w:val="172426"/>
                <w:sz w:val="16"/>
              </w:rPr>
              <w:t>Purpose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內部負責人</w:t>
            </w:r>
            <w:r>
              <w:br/>
            </w:r>
            <w:r>
              <w:rPr>
                <w:rFonts w:ascii="Noto Sans TC" w:hAnsi="Noto Sans TC" w:eastAsia="Noto Sans TC" w:cs="Noto Sans TC"/>
                <w:b w:val="0"/>
                <w:color w:val="172426"/>
                <w:sz w:val="16"/>
              </w:rPr>
              <w:t>社内担当</w:t>
            </w:r>
            <w:r>
              <w:br/>
            </w:r>
            <w:r>
              <w:rPr>
                <w:rFonts w:ascii="Noto Sans TC" w:hAnsi="Noto Sans TC" w:eastAsia="Noto Sans TC" w:cs="Noto Sans TC"/>
                <w:b w:val="0"/>
                <w:color w:val="172426"/>
                <w:sz w:val="16"/>
              </w:rPr>
              <w:t>Internal 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目前階段與截止日</w:t>
            </w:r>
            <w:r>
              <w:br/>
            </w:r>
            <w:r>
              <w:rPr>
                <w:rFonts w:ascii="Noto Sans TC" w:hAnsi="Noto Sans TC" w:eastAsia="Noto Sans TC" w:cs="Noto Sans TC"/>
                <w:b w:val="0"/>
                <w:color w:val="172426"/>
                <w:sz w:val="16"/>
              </w:rPr>
              <w:t>段階・期限</w:t>
            </w:r>
            <w:r>
              <w:br/>
            </w:r>
            <w:r>
              <w:rPr>
                <w:rFonts w:ascii="Noto Sans TC" w:hAnsi="Noto Sans TC" w:eastAsia="Noto Sans TC" w:cs="Noto Sans TC"/>
                <w:b w:val="0"/>
                <w:color w:val="172426"/>
                <w:sz w:val="16"/>
              </w:rPr>
              <w:t>Stage and deadline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02.2</w:t>
      </w:r>
    </w:p>
    <w:p>
      <w:pPr>
        <w:pStyle w:val="Heading1"/>
        <w:spacing w:before="0"/>
      </w:pPr>
      <w:r>
        <w:t>商品文件檢核表</w:t>
      </w:r>
    </w:p>
    <w:p>
      <w:pPr>
        <w:pStyle w:val="ToolkitLead"/>
      </w:pPr>
      <w:r>
        <w:rPr>
          <w:rFonts w:ascii="Noto Sans TC" w:hAnsi="Noto Sans TC" w:eastAsia="Noto Sans TC" w:cs="Noto Sans TC"/>
          <w:b/>
          <w:color w:val="173F42"/>
          <w:sz w:val="21"/>
        </w:rPr>
        <w:t>商品資料確認表</w:t>
      </w:r>
      <w:r>
        <w:br/>
      </w:r>
      <w:r>
        <w:rPr>
          <w:rFonts w:ascii="Noto Sans TC" w:hAnsi="Noto Sans TC" w:eastAsia="Noto Sans TC" w:cs="Noto Sans TC"/>
          <w:b/>
          <w:color w:val="5D6C6D"/>
          <w:sz w:val="20"/>
        </w:rPr>
        <w:t>Product document checklist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逐項標示文件是否已收、待補或需人工判斷。</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受領済み、不足、要判断を表示。</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Show received, missing and decision-needed items.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商品名稱與規格</w:t>
            </w:r>
            <w:r>
              <w:br/>
            </w:r>
            <w:r>
              <w:rPr>
                <w:rFonts w:ascii="Noto Sans TC" w:hAnsi="Noto Sans TC" w:eastAsia="Noto Sans TC" w:cs="Noto Sans TC"/>
                <w:b w:val="0"/>
                <w:color w:val="172426"/>
                <w:sz w:val="16"/>
              </w:rPr>
              <w:t>商品・仕様</w:t>
            </w:r>
            <w:r>
              <w:br/>
            </w:r>
            <w:r>
              <w:rPr>
                <w:rFonts w:ascii="Noto Sans TC" w:hAnsi="Noto Sans TC" w:eastAsia="Noto Sans TC" w:cs="Noto Sans TC"/>
                <w:b w:val="0"/>
                <w:color w:val="172426"/>
                <w:sz w:val="16"/>
              </w:rPr>
              <w:t>Product and specification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成分與過敏原</w:t>
            </w:r>
            <w:r>
              <w:br/>
            </w:r>
            <w:r>
              <w:rPr>
                <w:rFonts w:ascii="Noto Sans TC" w:hAnsi="Noto Sans TC" w:eastAsia="Noto Sans TC" w:cs="Noto Sans TC"/>
                <w:b w:val="0"/>
                <w:color w:val="172426"/>
                <w:sz w:val="16"/>
              </w:rPr>
              <w:t>原材料・アレルゲン</w:t>
            </w:r>
            <w:r>
              <w:br/>
            </w:r>
            <w:r>
              <w:rPr>
                <w:rFonts w:ascii="Noto Sans TC" w:hAnsi="Noto Sans TC" w:eastAsia="Noto Sans TC" w:cs="Noto Sans TC"/>
                <w:b w:val="0"/>
                <w:color w:val="172426"/>
                <w:sz w:val="16"/>
              </w:rPr>
              <w:t>Ingredients and allergens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報價與交易條件</w:t>
            </w:r>
            <w:r>
              <w:br/>
            </w:r>
            <w:r>
              <w:rPr>
                <w:rFonts w:ascii="Noto Sans TC" w:hAnsi="Noto Sans TC" w:eastAsia="Noto Sans TC" w:cs="Noto Sans TC"/>
                <w:b w:val="0"/>
                <w:color w:val="172426"/>
                <w:sz w:val="16"/>
              </w:rPr>
              <w:t>見積り</w:t>
            </w:r>
            <w:r>
              <w:br/>
            </w:r>
            <w:r>
              <w:rPr>
                <w:rFonts w:ascii="Noto Sans TC" w:hAnsi="Noto Sans TC" w:eastAsia="Noto Sans TC" w:cs="Noto Sans TC"/>
                <w:b w:val="0"/>
                <w:color w:val="172426"/>
                <w:sz w:val="16"/>
              </w:rPr>
              <w:t>Quotation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繁體中文標示</w:t>
            </w:r>
            <w:r>
              <w:br/>
            </w:r>
            <w:r>
              <w:rPr>
                <w:rFonts w:ascii="Noto Sans TC" w:hAnsi="Noto Sans TC" w:eastAsia="Noto Sans TC" w:cs="Noto Sans TC"/>
                <w:b w:val="0"/>
                <w:color w:val="172426"/>
                <w:sz w:val="16"/>
              </w:rPr>
              <w:t>繁体字表示</w:t>
            </w:r>
            <w:r>
              <w:br/>
            </w:r>
            <w:r>
              <w:rPr>
                <w:rFonts w:ascii="Noto Sans TC" w:hAnsi="Noto Sans TC" w:eastAsia="Noto Sans TC" w:cs="Noto Sans TC"/>
                <w:b w:val="0"/>
                <w:color w:val="172426"/>
                <w:sz w:val="16"/>
              </w:rPr>
              <w:t>Traditional Chinese label</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樣品狀態</w:t>
            </w:r>
            <w:r>
              <w:br/>
            </w:r>
            <w:r>
              <w:rPr>
                <w:rFonts w:ascii="Noto Sans TC" w:hAnsi="Noto Sans TC" w:eastAsia="Noto Sans TC" w:cs="Noto Sans TC"/>
                <w:b w:val="0"/>
                <w:color w:val="172426"/>
                <w:sz w:val="16"/>
              </w:rPr>
              <w:t>サンプル</w:t>
            </w:r>
            <w:r>
              <w:br/>
            </w:r>
            <w:r>
              <w:rPr>
                <w:rFonts w:ascii="Noto Sans TC" w:hAnsi="Noto Sans TC" w:eastAsia="Noto Sans TC" w:cs="Noto Sans TC"/>
                <w:b w:val="0"/>
                <w:color w:val="172426"/>
                <w:sz w:val="16"/>
              </w:rPr>
              <w:t>Sample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進口相關文件</w:t>
            </w:r>
            <w:r>
              <w:br/>
            </w:r>
            <w:r>
              <w:rPr>
                <w:rFonts w:ascii="Noto Sans TC" w:hAnsi="Noto Sans TC" w:eastAsia="Noto Sans TC" w:cs="Noto Sans TC"/>
                <w:b w:val="0"/>
                <w:color w:val="172426"/>
                <w:sz w:val="16"/>
              </w:rPr>
              <w:t>輸入資料</w:t>
            </w:r>
            <w:r>
              <w:br/>
            </w:r>
            <w:r>
              <w:rPr>
                <w:rFonts w:ascii="Noto Sans TC" w:hAnsi="Noto Sans TC" w:eastAsia="Noto Sans TC" w:cs="Noto Sans TC"/>
                <w:b w:val="0"/>
                <w:color w:val="172426"/>
                <w:sz w:val="16"/>
              </w:rPr>
              <w:t>Import files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文件版本與日期</w:t>
            </w:r>
            <w:r>
              <w:br/>
            </w:r>
            <w:r>
              <w:rPr>
                <w:rFonts w:ascii="Noto Sans TC" w:hAnsi="Noto Sans TC" w:eastAsia="Noto Sans TC" w:cs="Noto Sans TC"/>
                <w:b w:val="0"/>
                <w:color w:val="172426"/>
                <w:sz w:val="16"/>
              </w:rPr>
              <w:t>版・日付</w:t>
            </w:r>
            <w:r>
              <w:br/>
            </w:r>
            <w:r>
              <w:rPr>
                <w:rFonts w:ascii="Noto Sans TC" w:hAnsi="Noto Sans TC" w:eastAsia="Noto Sans TC" w:cs="Noto Sans TC"/>
                <w:b w:val="0"/>
                <w:color w:val="172426"/>
                <w:sz w:val="16"/>
              </w:rPr>
              <w:t>Version and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狀態與審閱人</w:t>
            </w:r>
            <w:r>
              <w:br/>
            </w:r>
            <w:r>
              <w:rPr>
                <w:rFonts w:ascii="Noto Sans TC" w:hAnsi="Noto Sans TC" w:eastAsia="Noto Sans TC" w:cs="Noto Sans TC"/>
                <w:b w:val="0"/>
                <w:color w:val="172426"/>
                <w:sz w:val="16"/>
              </w:rPr>
              <w:t>状態・確認者</w:t>
            </w:r>
            <w:r>
              <w:br/>
            </w:r>
            <w:r>
              <w:rPr>
                <w:rFonts w:ascii="Noto Sans TC" w:hAnsi="Noto Sans TC" w:eastAsia="Noto Sans TC" w:cs="Noto Sans TC"/>
                <w:b w:val="0"/>
                <w:color w:val="172426"/>
                <w:sz w:val="16"/>
              </w:rPr>
              <w:t>Status and reviewer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02.3</w:t>
      </w:r>
    </w:p>
    <w:p>
      <w:pPr>
        <w:pStyle w:val="Heading1"/>
        <w:spacing w:before="0"/>
      </w:pPr>
      <w:r>
        <w:t>追件與風險單</w:t>
      </w:r>
    </w:p>
    <w:p>
      <w:pPr>
        <w:pStyle w:val="ToolkitLead"/>
      </w:pPr>
      <w:r>
        <w:rPr>
          <w:rFonts w:ascii="Noto Sans TC" w:hAnsi="Noto Sans TC" w:eastAsia="Noto Sans TC" w:cs="Noto Sans TC"/>
          <w:b/>
          <w:color w:val="173F42"/>
          <w:sz w:val="21"/>
        </w:rPr>
        <w:t>督促・リスク票</w:t>
      </w:r>
      <w:r>
        <w:br/>
      </w:r>
      <w:r>
        <w:rPr>
          <w:rFonts w:ascii="Noto Sans TC" w:hAnsi="Noto Sans TC" w:eastAsia="Noto Sans TC" w:cs="Noto Sans TC"/>
          <w:b/>
          <w:color w:val="5D6C6D"/>
          <w:sz w:val="20"/>
        </w:rPr>
        <w:t>Follow-up and risk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將追件、逾期與可能影響檔期的項目集中管理。</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不足と日程影響を集中管理。</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Manage missing items and schedule impact.</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缺漏項目</w:t>
            </w:r>
            <w:r>
              <w:br/>
            </w:r>
            <w:r>
              <w:rPr>
                <w:rFonts w:ascii="Noto Sans TC" w:hAnsi="Noto Sans TC" w:eastAsia="Noto Sans TC" w:cs="Noto Sans TC"/>
                <w:b w:val="0"/>
                <w:color w:val="172426"/>
                <w:sz w:val="16"/>
              </w:rPr>
              <w:t>不足項目</w:t>
            </w:r>
            <w:r>
              <w:br/>
            </w:r>
            <w:r>
              <w:rPr>
                <w:rFonts w:ascii="Noto Sans TC" w:hAnsi="Noto Sans TC" w:eastAsia="Noto Sans TC" w:cs="Noto Sans TC"/>
                <w:b w:val="0"/>
                <w:color w:val="172426"/>
                <w:sz w:val="16"/>
              </w:rPr>
              <w:t>Missing item</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提出日期與期限</w:t>
            </w:r>
            <w:r>
              <w:br/>
            </w:r>
            <w:r>
              <w:rPr>
                <w:rFonts w:ascii="Noto Sans TC" w:hAnsi="Noto Sans TC" w:eastAsia="Noto Sans TC" w:cs="Noto Sans TC"/>
                <w:b w:val="0"/>
                <w:color w:val="172426"/>
                <w:sz w:val="16"/>
              </w:rPr>
              <w:t>依頼日・期限</w:t>
            </w:r>
            <w:r>
              <w:br/>
            </w:r>
            <w:r>
              <w:rPr>
                <w:rFonts w:ascii="Noto Sans TC" w:hAnsi="Noto Sans TC" w:eastAsia="Noto Sans TC" w:cs="Noto Sans TC"/>
                <w:b w:val="0"/>
                <w:color w:val="172426"/>
                <w:sz w:val="16"/>
              </w:rPr>
              <w:t>Request and due dates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外部／內部負責人</w:t>
            </w:r>
            <w:r>
              <w:br/>
            </w:r>
            <w:r>
              <w:rPr>
                <w:rFonts w:ascii="Noto Sans TC" w:hAnsi="Noto Sans TC" w:eastAsia="Noto Sans TC" w:cs="Noto Sans TC"/>
                <w:b w:val="0"/>
                <w:color w:val="172426"/>
                <w:sz w:val="16"/>
              </w:rPr>
              <w:t>担当者</w:t>
            </w:r>
            <w:r>
              <w:br/>
            </w:r>
            <w:r>
              <w:rPr>
                <w:rFonts w:ascii="Noto Sans TC" w:hAnsi="Noto Sans TC" w:eastAsia="Noto Sans TC" w:cs="Noto Sans TC"/>
                <w:b w:val="0"/>
                <w:color w:val="172426"/>
                <w:sz w:val="16"/>
              </w:rPr>
              <w:t>Owners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對活動或進口的影響</w:t>
            </w:r>
            <w:r>
              <w:br/>
            </w:r>
            <w:r>
              <w:rPr>
                <w:rFonts w:ascii="Noto Sans TC" w:hAnsi="Noto Sans TC" w:eastAsia="Noto Sans TC" w:cs="Noto Sans TC"/>
                <w:b w:val="0"/>
                <w:color w:val="172426"/>
                <w:sz w:val="16"/>
              </w:rPr>
              <w:t>催事・輸入への影響</w:t>
            </w:r>
            <w:r>
              <w:br/>
            </w:r>
            <w:r>
              <w:rPr>
                <w:rFonts w:ascii="Noto Sans TC" w:hAnsi="Noto Sans TC" w:eastAsia="Noto Sans TC" w:cs="Noto Sans TC"/>
                <w:b w:val="0"/>
                <w:color w:val="172426"/>
                <w:sz w:val="16"/>
              </w:rPr>
              <w:t>Fair or import impact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追件文案草稿</w:t>
            </w:r>
            <w:r>
              <w:br/>
            </w:r>
            <w:r>
              <w:rPr>
                <w:rFonts w:ascii="Noto Sans TC" w:hAnsi="Noto Sans TC" w:eastAsia="Noto Sans TC" w:cs="Noto Sans TC"/>
                <w:b w:val="0"/>
                <w:color w:val="172426"/>
                <w:sz w:val="16"/>
              </w:rPr>
              <w:t>督促案</w:t>
            </w:r>
            <w:r>
              <w:br/>
            </w:r>
            <w:r>
              <w:rPr>
                <w:rFonts w:ascii="Noto Sans TC" w:hAnsi="Noto Sans TC" w:eastAsia="Noto Sans TC" w:cs="Noto Sans TC"/>
                <w:b w:val="0"/>
                <w:color w:val="172426"/>
                <w:sz w:val="16"/>
              </w:rPr>
              <w:t>Follow-up draft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是否需要專業判斷</w:t>
            </w:r>
            <w:r>
              <w:br/>
            </w:r>
            <w:r>
              <w:rPr>
                <w:rFonts w:ascii="Noto Sans TC" w:hAnsi="Noto Sans TC" w:eastAsia="Noto Sans TC" w:cs="Noto Sans TC"/>
                <w:b w:val="0"/>
                <w:color w:val="172426"/>
                <w:sz w:val="16"/>
              </w:rPr>
              <w:t>専門判断要否</w:t>
            </w:r>
            <w:r>
              <w:br/>
            </w:r>
            <w:r>
              <w:rPr>
                <w:rFonts w:ascii="Noto Sans TC" w:hAnsi="Noto Sans TC" w:eastAsia="Noto Sans TC" w:cs="Noto Sans TC"/>
                <w:b w:val="0"/>
                <w:color w:val="172426"/>
                <w:sz w:val="16"/>
              </w:rPr>
              <w:t>Professional review needed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處理結果</w:t>
            </w:r>
            <w:r>
              <w:br/>
            </w:r>
            <w:r>
              <w:rPr>
                <w:rFonts w:ascii="Noto Sans TC" w:hAnsi="Noto Sans TC" w:eastAsia="Noto Sans TC" w:cs="Noto Sans TC"/>
                <w:b w:val="0"/>
                <w:color w:val="172426"/>
                <w:sz w:val="16"/>
              </w:rPr>
              <w:t>結果</w:t>
            </w:r>
            <w:r>
              <w:br/>
            </w:r>
            <w:r>
              <w:rPr>
                <w:rFonts w:ascii="Noto Sans TC" w:hAnsi="Noto Sans TC" w:eastAsia="Noto Sans TC" w:cs="Noto Sans TC"/>
                <w:b w:val="0"/>
                <w:color w:val="172426"/>
                <w:sz w:val="16"/>
              </w:rPr>
              <w:t>Result</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Noto Sans TC" w:hAnsi="Noto Sans TC" w:eastAsia="Noto Sans TC" w:cs="Noto Sans TC"/>
        <w:color w:val="5D6C6D"/>
        <w:sz w:val="16"/>
      </w:rPr>
      <w:t xml:space="preserve">v1.0.0  |  2026-08-21  |  頁 / ページ / Page </w:t>
    </w:r>
    <w:r>
      <w:rPr>
        <w:rFonts w:ascii="Noto Sans TC" w:hAnsi="Noto Sans TC" w:eastAsia="Noto Sans TC" w:cs="Noto Sans TC"/>
        <w:color w:val="5D6C6D"/>
        <w:sz w:val="16"/>
      </w:rPr>
      <w:fldChar w:fldCharType="begin"/>
      <w:instrText xml:space="preserve"> PAGE </w:instrText>
      <w:fldChar w:fldCharType="separate"/>
      <w:t>1</w:t>
      <w:fldChar w:fldCharType="end"/>
    </w:r>
    <w:r>
      <w:rPr>
        <w:rFonts w:ascii="Noto Sans TC" w:hAnsi="Noto Sans TC" w:eastAsia="Noto Sans TC" w:cs="Noto Sans TC"/>
        <w:color w:val="5D6C6D"/>
        <w:sz w:val="16"/>
      </w:rPr>
      <w:t xml:space="preserve"> / </w:t>
    </w:r>
    <w:r>
      <w:rPr>
        <w:rFonts w:ascii="Noto Sans TC" w:hAnsi="Noto Sans TC" w:eastAsia="Noto Sans TC" w:cs="Noto Sans TC"/>
        <w:color w:val="5D6C6D"/>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Noto Sans TC" w:hAnsi="Noto Sans TC" w:eastAsia="Noto Sans TC" w:cs="Noto Sans TC"/>
        <w:b/>
        <w:color w:val="102C2E"/>
        <w:sz w:val="17"/>
      </w:rPr>
      <w:t>KANEKYU  |  AI TOOLKIT 02</w:t>
    </w:r>
    <w:r>
      <w:rPr>
        <w:rFonts w:ascii="Noto Sans TC" w:hAnsi="Noto Sans TC" w:eastAsia="Noto Sans TC" w:cs="Noto Sans TC"/>
        <w:color w:val="5D6C6D"/>
        <w:sz w:val="16"/>
      </w:rPr>
      <w:tab/>
      <w:t>exhibitor-documents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before="0" w:after="120" w:line="300" w:lineRule="auto"/>
    </w:pPr>
    <w:rPr>
      <w:rFonts w:ascii="Noto Sans TC" w:hAnsi="Noto Sans TC" w:eastAsia="Noto Sans TC" w:cs="Noto Sans TC"/>
      <w:b w:val="0"/>
      <w:color w:val="1724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Noto Sans TC" w:hAnsi="Noto Sans TC" w:eastAsia="Noto Sans TC" w:cs="Noto Sans TC"/>
      <w:b/>
      <w:bCs/>
      <w:color w:val="102C2E"/>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line="276" w:lineRule="auto"/>
      <w:outlineLvl w:val="1"/>
    </w:pPr>
    <w:rPr>
      <w:rFonts w:asciiTheme="majorHAnsi" w:eastAsiaTheme="majorEastAsia" w:hAnsiTheme="majorHAnsi" w:cstheme="majorBidi" w:ascii="Noto Sans TC" w:hAnsi="Noto Sans TC" w:eastAsia="Noto Sans TC" w:cs="Noto Sans TC"/>
      <w:b/>
      <w:bCs/>
      <w:color w:val="173F4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76" w:lineRule="auto"/>
      <w:outlineLvl w:val="2"/>
    </w:pPr>
    <w:rPr>
      <w:rFonts w:asciiTheme="majorHAnsi" w:eastAsiaTheme="majorEastAsia" w:hAnsiTheme="majorHAnsi" w:cstheme="majorBidi" w:ascii="Noto Sans TC" w:hAnsi="Noto Sans TC" w:eastAsia="Noto Sans TC" w:cs="Noto Sans TC"/>
      <w:b/>
      <w:bCs/>
      <w:color w:val="173F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60" w:line="252" w:lineRule="auto" w:before="0"/>
      <w:contextualSpacing/>
    </w:pPr>
    <w:rPr>
      <w:rFonts w:asciiTheme="majorHAnsi" w:eastAsiaTheme="majorEastAsia" w:hAnsiTheme="majorHAnsi" w:cstheme="majorBidi" w:ascii="Noto Serif TC" w:hAnsi="Noto Serif TC" w:eastAsia="Noto Serif TC" w:cs="Noto Serif TC"/>
      <w:b/>
      <w:color w:val="102C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360" w:line="288" w:lineRule="auto"/>
    </w:pPr>
    <w:rPr>
      <w:rFonts w:asciiTheme="majorHAnsi" w:eastAsiaTheme="majorEastAsia" w:hAnsiTheme="majorHAnsi" w:cstheme="majorBidi" w:ascii="Noto Sans TC" w:hAnsi="Noto Sans TC" w:eastAsia="Noto Sans TC" w:cs="Noto Sans TC"/>
      <w:b w:val="0"/>
      <w:i/>
      <w:iCs/>
      <w:color w:val="5D6C6D"/>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Kicker">
    <w:name w:val="Toolkit Kicker"/>
    <w:pPr>
      <w:keepNext/>
      <w:pageBreakBefore w:val="0"/>
      <w:spacing w:before="0" w:after="80" w:line="240" w:lineRule="auto"/>
    </w:pPr>
    <w:rPr>
      <w:rFonts w:ascii="Noto Sans TC" w:hAnsi="Noto Sans TC" w:eastAsia="Noto Sans TC" w:cs="Noto Sans TC"/>
      <w:b/>
      <w:color w:val="D8A657"/>
      <w:sz w:val="18"/>
    </w:rPr>
  </w:style>
  <w:style w:type="paragraph" w:customStyle="1" w:styleId="ToolkitLead">
    <w:name w:val="Toolkit Lead"/>
    <w:pPr>
      <w:keepNext w:val="0"/>
      <w:pageBreakBefore w:val="0"/>
      <w:spacing w:before="0" w:after="160" w:line="300" w:lineRule="auto"/>
    </w:pPr>
    <w:rPr>
      <w:rFonts w:ascii="Noto Sans TC" w:hAnsi="Noto Sans TC" w:eastAsia="Noto Sans TC" w:cs="Noto Sans TC"/>
      <w:b w:val="0"/>
      <w:color w:val="172426"/>
      <w:sz w:val="23"/>
    </w:rPr>
  </w:style>
  <w:style w:type="paragraph" w:customStyle="1" w:styleId="ToolkitSmall">
    <w:name w:val="Toolkit Small"/>
    <w:pPr>
      <w:keepNext w:val="0"/>
      <w:pageBreakBefore w:val="0"/>
      <w:spacing w:before="0" w:after="60" w:line="276" w:lineRule="auto"/>
    </w:pPr>
    <w:rPr>
      <w:rFonts w:ascii="Noto Sans TC" w:hAnsi="Noto Sans TC" w:eastAsia="Noto Sans TC" w:cs="Noto Sans TC"/>
      <w:b w:val="0"/>
      <w:color w:val="5D6C6D"/>
      <w:sz w:val="17"/>
    </w:rPr>
  </w:style>
  <w:style w:type="paragraph" w:customStyle="1" w:styleId="ToolkitNote">
    <w:name w:val="Toolkit Note"/>
    <w:pPr>
      <w:keepNext w:val="0"/>
      <w:pageBreakBefore w:val="0"/>
      <w:spacing w:before="60" w:after="160" w:line="288" w:lineRule="auto"/>
    </w:pPr>
    <w:rPr>
      <w:rFonts w:ascii="Noto Sans TC" w:hAnsi="Noto Sans TC" w:eastAsia="Noto Sans TC" w:cs="Noto Sans TC"/>
      <w:b w:val="0"/>
      <w:color w:val="5D6C6D"/>
      <w:sz w:val="18"/>
    </w:rPr>
  </w:style>
  <w:style w:type="paragraph" w:customStyle="1" w:styleId="ToolkitFormLabel">
    <w:name w:val="Toolkit Form Label"/>
    <w:pPr>
      <w:keepNext w:val="0"/>
      <w:pageBreakBefore w:val="0"/>
      <w:spacing w:before="0" w:after="0" w:line="252" w:lineRule="auto"/>
    </w:pPr>
    <w:rPr>
      <w:rFonts w:ascii="Noto Sans TC" w:hAnsi="Noto Sans TC" w:eastAsia="Noto Sans TC" w:cs="Noto Sans TC"/>
      <w:b/>
      <w:color w:val="172426"/>
      <w:sz w:val="17"/>
    </w:rPr>
  </w:style>
  <w:style w:type="paragraph" w:customStyle="1" w:styleId="ToolkitFormEntry">
    <w:name w:val="Toolkit Form Entry"/>
    <w:pPr>
      <w:keepNext w:val="0"/>
      <w:pageBreakBefore w:val="0"/>
      <w:spacing w:before="0" w:after="0" w:line="252" w:lineRule="auto"/>
    </w:pPr>
    <w:rPr>
      <w:rFonts w:ascii="Noto Sans TC" w:hAnsi="Noto Sans TC" w:eastAsia="Noto Sans TC" w:cs="Noto Sans TC"/>
      <w:b w:val="0"/>
      <w:color w:val="73808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展商招商與文件缺口</dc:title>
  <dc:subject>Trilingual fillable AI operations toolkit</dc:subject>
  <dc:creator/>
  <cp:keywords>AI toolkit, trilingual, exhibitor-documents</cp:keywords>
  <dc:description>Source: lib/ai-workflows.ts</dc:description>
  <cp:lastModifiedBy/>
  <cp:revision>1</cp:revision>
  <dcterms:created xsi:type="dcterms:W3CDTF">2013-12-23T23:15:00Z</dcterms:created>
  <dcterms:modified xsi:type="dcterms:W3CDTF">2013-12-23T23:15:00Z</dcterms:modified>
  <cp:category/>
</cp:coreProperties>
</file>