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oolkitKicker"/>
      </w:pPr>
      <w:r>
        <w:t>AI 協作工具包 / AI協働ツールキット / AI OPERATIONS TOOLKIT  |  模組 / モジュール / MODULE 01</w:t>
      </w:r>
    </w:p>
    <w:p>
      <w:pPr>
        <w:pStyle w:val="Title"/>
      </w:pPr>
      <w:r>
        <w:t>日本展與客戶通知</w:t>
      </w:r>
    </w:p>
    <w:p>
      <w:pPr>
        <w:pStyle w:val="Subtitle"/>
        <w:spacing w:after="60"/>
      </w:pPr>
      <w:r>
        <w:rPr>
          <w:rFonts w:ascii="Noto Sans TC" w:hAnsi="Noto Sans TC" w:eastAsia="Noto Sans TC" w:cs="Noto Sans TC"/>
          <w:b/>
          <w:color w:val="173F42"/>
          <w:sz w:val="26"/>
        </w:rPr>
        <w:t>催事日程・顧客案内</w:t>
      </w:r>
    </w:p>
    <w:p>
      <w:pPr>
        <w:pStyle w:val="Subtitle"/>
        <w:spacing w:after="320"/>
      </w:pPr>
      <w:r>
        <w:rPr>
          <w:rFonts w:ascii="Noto Sans TC" w:hAnsi="Noto Sans TC" w:eastAsia="Noto Sans TC" w:cs="Noto Sans TC"/>
          <w:b/>
          <w:color w:val="5D6C6D"/>
          <w:sz w:val="25"/>
        </w:rPr>
        <w:t>Fair schedules and customer notices</w:t>
      </w:r>
    </w:p>
    <w:p>
      <w:pPr>
        <w:pStyle w:val="ToolkitLead"/>
      </w:pPr>
      <w:r>
        <w:rPr>
          <w:rFonts w:ascii="Noto Sans TC" w:hAnsi="Noto Sans TC" w:eastAsia="Noto Sans TC" w:cs="Noto Sans TC"/>
          <w:b/>
          <w:color w:val="D8A657"/>
          <w:sz w:val="18"/>
        </w:rPr>
        <w:t xml:space="preserve">繁中  </w:t>
      </w:r>
      <w:r>
        <w:rPr>
          <w:rFonts w:ascii="Noto Sans TC" w:hAnsi="Noto Sans TC" w:eastAsia="Noto Sans TC" w:cs="Noto Sans TC"/>
          <w:color w:val="172426"/>
          <w:sz w:val="21"/>
        </w:rPr>
        <w:t>把主行程、異動影響、網站更新與客戶通知放在同一套核准流程。</w:t>
      </w:r>
    </w:p>
    <w:p>
      <w:pPr>
        <w:pStyle w:val="ToolkitLead"/>
      </w:pPr>
      <w:r>
        <w:rPr>
          <w:rFonts w:ascii="Noto Sans TC" w:hAnsi="Noto Sans TC" w:eastAsia="Noto Sans TC" w:cs="Noto Sans TC"/>
          <w:b/>
          <w:color w:val="D8A657"/>
          <w:sz w:val="18"/>
        </w:rPr>
        <w:t xml:space="preserve">日本語  </w:t>
      </w:r>
      <w:r>
        <w:rPr>
          <w:rFonts w:ascii="Noto Sans TC" w:hAnsi="Noto Sans TC" w:eastAsia="Noto Sans TC" w:cs="Noto Sans TC"/>
          <w:color w:val="172426"/>
          <w:sz w:val="21"/>
        </w:rPr>
        <w:t>基準日程、変更影響、サイト更新、顧客案内を一つの承認フローで管理します。</w:t>
      </w:r>
    </w:p>
    <w:p>
      <w:pPr>
        <w:pStyle w:val="ToolkitLead"/>
      </w:pPr>
      <w:r>
        <w:rPr>
          <w:rFonts w:ascii="Noto Sans TC" w:hAnsi="Noto Sans TC" w:eastAsia="Noto Sans TC" w:cs="Noto Sans TC"/>
          <w:b/>
          <w:color w:val="D8A657"/>
          <w:sz w:val="18"/>
        </w:rPr>
        <w:t xml:space="preserve">EN  </w:t>
      </w:r>
      <w:r>
        <w:rPr>
          <w:rFonts w:ascii="Noto Sans TC" w:hAnsi="Noto Sans TC" w:eastAsia="Noto Sans TC" w:cs="Noto Sans TC"/>
          <w:color w:val="172426"/>
          <w:sz w:val="21"/>
        </w:rPr>
        <w:t>Keep the master schedule, change impact, website updates and customer notices in one approval flow.</w:t>
      </w:r>
    </w:p>
    <w:p>
      <w:pPr>
        <w:pStyle w:val="Heading2"/>
      </w:pPr>
      <w:r>
        <w:t>文件控制 / 文書管理 / Document control</w:t>
      </w:r>
    </w:p>
    <w:tbl>
      <w:tblPr>
        <w:tblW w:type="dxa" w:w="9360"/>
        <w:tblLayout w:type="fixed"/>
        <w:tblLook w:firstColumn="1" w:firstRow="1" w:lastColumn="0" w:lastRow="0" w:noHBand="0" w:noVBand="1" w:val="04A0"/>
        <w:jc w:val="left"/>
        <w:tblInd w:type="dxa" w:w="120"/>
      </w:tblPr>
      <w:tblGrid>
        <w:gridCol w:w="1600"/>
        <w:gridCol w:w="2000"/>
        <w:gridCol w:w="2880"/>
        <w:gridCol w:w="2880"/>
      </w:tblGrid>
      <w:tr>
        <w:trPr>
          <w:tblHeader w:val="true"/>
          <w:cantSplit/>
        </w:trPr>
        <w:tc>
          <w:tcPr>
            <w:tcW w:type="dxa" w:w="16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版本 / 版 / Version</w:t>
            </w:r>
          </w:p>
        </w:tc>
        <w:tc>
          <w:tcPr>
            <w:tcW w:type="dxa" w:w="20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r>
      <w:tr>
        <w:trPr>
          <w:cantSplit/>
        </w:trPr>
        <w:tc>
          <w:tcPr>
            <w:tcW w:type="dxa" w:w="16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1.0.0</w:t>
            </w:r>
          </w:p>
        </w:tc>
        <w:tc>
          <w:tcPr>
            <w:tcW w:type="dxa" w:w="20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2026-08-21</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r>
    </w:tbl>
    <w:p>
      <w:pPr>
        <w:pStyle w:val="ToolkitNote"/>
        <w:spacing w:before="140"/>
      </w:pPr>
      <w:r>
        <w:t xml:space="preserve">狀態 / 状態 / Status:  </w:t>
      </w:r>
      <w:r>
        <w:rPr>
          <w:rFonts w:ascii="Noto Sans TC" w:hAnsi="Noto Sans TC" w:eastAsia="Noto Sans TC" w:cs="Noto Sans TC"/>
          <w:b/>
          <w:color w:val="172426"/>
          <w:sz w:val="19"/>
        </w:rPr>
        <w:t>☐ 草稿 / 下書き / Draft</w:t>
      </w:r>
      <w:r>
        <w:t xml:space="preserve">      </w:t>
      </w:r>
      <w:r>
        <w:rPr>
          <w:rFonts w:ascii="Noto Sans TC" w:hAnsi="Noto Sans TC" w:eastAsia="Noto Sans TC" w:cs="Noto Sans TC"/>
          <w:b/>
          <w:color w:val="172426"/>
          <w:sz w:val="19"/>
        </w:rPr>
        <w:t>☐ 審閱中 / 確認中 / In review</w:t>
      </w:r>
      <w:r>
        <w:t xml:space="preserve">      </w:t>
      </w:r>
      <w:r>
        <w:rPr>
          <w:rFonts w:ascii="Noto Sans TC" w:hAnsi="Noto Sans TC" w:eastAsia="Noto Sans TC" w:cs="Noto Sans TC"/>
          <w:b/>
          <w:color w:val="172426"/>
          <w:sz w:val="19"/>
        </w:rPr>
        <w:t>☐ 已核准 / 承認済み / Approved</w:t>
      </w:r>
    </w:p>
    <w:p>
      <w:pPr>
        <w:pStyle w:val="Heading2"/>
      </w:pPr>
      <w:r>
        <w:t>使用說明 / 使用方法 / How to use</w:t>
      </w:r>
    </w:p>
    <w:p>
      <w:pPr>
        <w:pStyle w:val="ToolkitNote"/>
      </w:pPr>
      <w:r>
        <w:rPr>
          <w:rFonts w:ascii="Noto Sans TC" w:hAnsi="Noto Sans TC" w:eastAsia="Noto Sans TC" w:cs="Noto Sans TC"/>
          <w:b/>
          <w:color w:val="173F42"/>
          <w:sz w:val="18"/>
        </w:rPr>
        <w:t xml:space="preserve">繁體中文: </w:t>
      </w:r>
      <w:r>
        <w:rPr>
          <w:rFonts w:ascii="Noto Sans TC" w:hAnsi="Noto Sans TC" w:eastAsia="Noto Sans TC" w:cs="Noto Sans TC"/>
          <w:color w:val="172426"/>
          <w:sz w:val="18"/>
        </w:rPr>
        <w:t>依頁面順序填寫，保留正式來源、版本、責任人與核准人。草稿、名單、數字、日期及對外內容，須在發布、寄送或執行前由獲授權人員覆核。</w:t>
      </w:r>
    </w:p>
    <w:p>
      <w:pPr>
        <w:pStyle w:val="ToolkitNote"/>
      </w:pPr>
      <w:r>
        <w:rPr>
          <w:rFonts w:ascii="Noto Sans TC" w:hAnsi="Noto Sans TC" w:eastAsia="Noto Sans TC" w:cs="Noto Sans TC"/>
          <w:b/>
          <w:color w:val="173F42"/>
          <w:sz w:val="18"/>
        </w:rPr>
        <w:t xml:space="preserve">日本語: </w:t>
      </w:r>
      <w:r>
        <w:rPr>
          <w:rFonts w:ascii="Noto Sans TC" w:hAnsi="Noto Sans TC" w:eastAsia="Noto Sans TC" w:cs="Noto Sans TC"/>
          <w:color w:val="172426"/>
          <w:sz w:val="18"/>
        </w:rPr>
        <w:t>ページ順に記入し、正式な情報源、版、担当者、承認者を残してください。原稿、名簿、数値、日付、対外内容は、公開・送信・実行前に権限を持つ担当者が確認します。</w:t>
      </w:r>
    </w:p>
    <w:p>
      <w:pPr>
        <w:pStyle w:val="ToolkitNote"/>
      </w:pPr>
      <w:r>
        <w:rPr>
          <w:rFonts w:ascii="Noto Sans TC" w:hAnsi="Noto Sans TC" w:eastAsia="Noto Sans TC" w:cs="Noto Sans TC"/>
          <w:b/>
          <w:color w:val="173F42"/>
          <w:sz w:val="18"/>
        </w:rPr>
        <w:t xml:space="preserve">English: </w:t>
      </w:r>
      <w:r>
        <w:rPr>
          <w:rFonts w:ascii="Noto Sans TC" w:hAnsi="Noto Sans TC" w:eastAsia="Noto Sans TC" w:cs="Noto Sans TC"/>
          <w:color w:val="172426"/>
          <w:sz w:val="18"/>
        </w:rPr>
        <w:t>Complete the pages in order and retain the official source, version, responsible person and approver. Authorised staff must review drafts, lists, figures, dates and external content before release, sending or action.</w:t>
      </w:r>
    </w:p>
    <w:p>
      <w:r>
        <w:br w:type="page"/>
      </w:r>
    </w:p>
    <w:p>
      <w:pPr>
        <w:pStyle w:val="ToolkitKicker"/>
      </w:pPr>
      <w:r>
        <w:t>AI 協作工具包 / AI協働ツールキット / AI OPERATIONS TOOLKIT</w:t>
      </w:r>
    </w:p>
    <w:p>
      <w:pPr>
        <w:pStyle w:val="Heading1"/>
      </w:pPr>
      <w:r>
        <w:t>模組概覽 / モジュール概要 / Module overview</w:t>
      </w:r>
    </w:p>
    <w:p>
      <w:pPr>
        <w:pStyle w:val="Heading2"/>
      </w:pPr>
      <w:r>
        <w:t>適用情境 / 適用場面 / Best for</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適合多館別、重疊檔期，以及需要展前、改期或取消通知的日本展營運。</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複数会場、重複日程、開催前・変更・取消案内が必要な催事運営に適しています。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Multi-venue fairs, overlapping schedules and pre-event, reschedule or cancellation notices.</w:t>
      </w:r>
    </w:p>
    <w:p>
      <w:pPr>
        <w:pStyle w:val="Heading2"/>
      </w:pPr>
      <w:r>
        <w:t>預期交付 / 想定成果 / Expected outcome</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形成一份可追蹤的行程主檔、異動清單、核准記錄與各通路通知草稿。</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追跡できる日程表、変更一覧、承認記録、各チャネル向け案内案を作成します。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A traceable master schedule, change list, approval record and channel-specific notice drafts.</w:t>
      </w:r>
    </w:p>
    <w:p>
      <w:pPr>
        <w:pStyle w:val="Heading2"/>
      </w:pPr>
      <w:r>
        <w:t>開始前需準備 / 開始前に必要 / Inputs required</w:t>
      </w:r>
    </w:p>
    <w:tbl>
      <w:tblPr>
        <w:tblW w:type="dxa" w:w="9360"/>
        <w:tblLayout w:type="fixed"/>
        <w:tblLook w:firstColumn="1" w:firstRow="1" w:lastColumn="0" w:lastRow="0" w:noHBand="0" w:noVBand="1" w:val="04A0"/>
        <w:jc w:val="left"/>
        <w:tblInd w:type="dxa" w:w="120"/>
      </w:tblPr>
      <w:tblGrid>
        <w:gridCol w:w="620"/>
        <w:gridCol w:w="2910"/>
        <w:gridCol w:w="2910"/>
        <w:gridCol w:w="2920"/>
      </w:tblGrid>
      <w:tr>
        <w:trPr>
          <w:tblHeader w:val="true"/>
          <w:cantSplit/>
        </w:trPr>
        <w:tc>
          <w:tcPr>
            <w:tcW w:type="dxa" w:w="6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9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1</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活動名稱、日期、場館及公開狀態</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催事名、日程、会場、公開状態</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Event name, dates, venue and publication status</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2</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進撤場時間、承辦窗口與來源文件或網址</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搬入出、担当窓口、根拠資料またはURL</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Move-in/out, owner and supporting file or URL</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3</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D-30／D-14／D-7／D-1 等提醒節點</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D-30／D-14／D-7／D-1等の案内時点</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D-30, D-14, D-7 and D-1 milestones</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4</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如需通知，提供合法取得的通知對象規則與可用渠道</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適法に取得した通知対象ルールと利用チャネル</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Lawfully obtained audience rules and approved channels</w:t>
            </w:r>
          </w:p>
        </w:tc>
      </w:tr>
    </w:tbl>
    <w:p>
      <w:r>
        <w:br w:type="page"/>
      </w:r>
    </w:p>
    <w:p>
      <w:pPr>
        <w:pStyle w:val="ToolkitKicker"/>
      </w:pPr>
      <w:r>
        <w:t>AI 協作工具包 / AI協働ツールキット / AI OPERATIONS TOOLKIT</w:t>
      </w:r>
    </w:p>
    <w:p>
      <w:pPr>
        <w:pStyle w:val="Heading1"/>
      </w:pPr>
      <w:r>
        <w:t>人工覆核界線 / 人による確認範囲 / Human review boundaries</w:t>
      </w:r>
    </w:p>
    <w:p>
      <w:pPr>
        <w:pStyle w:val="Heading2"/>
      </w:pPr>
      <w:r>
        <w:t>人工覆核界線 / 人による確認範囲 / Human review boundaries</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日期、場館、是否公開與通知時間必須人工確認</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日程、会場、公開可否、送信時刻は担当者が確認</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A named person approves dates, venue, publication and sending time</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沒有合法通知對象規則時，不建立或匯入名單</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適法な対象者ルールがなければ名簿を利用しない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Do not use a list without a lawful audience rule</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網站不宣稱會自動寄送或保證日曆即時同步</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自動送信や即時同期を保証しない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Do not promise automatic sending or instant calendar sync</w:t>
      </w:r>
    </w:p>
    <w:p>
      <w:pPr>
        <w:pStyle w:val="Heading2"/>
      </w:pPr>
      <w:r>
        <w:t>範圍聲明 / 範囲説明 / Scope statement</w:t>
      </w:r>
    </w:p>
    <w:p>
      <w:pPr>
        <w:pStyle w:val="ToolkitNote"/>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17"/>
        </w:rPr>
        <w:t>以上為可評估、可逐步導入的工作方式，不代表目前網站已連接客戶、訂單、庫存、財務、LINE 或 Email 系統。實際資料存取、發送、自動化、頻率、保存期限、費用與責任，以測試結果及書面合作範圍為準。</w:t>
      </w:r>
    </w:p>
    <w:p>
      <w:pPr>
        <w:pStyle w:val="ToolkitNote"/>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17"/>
        </w:rPr>
        <w:t>上記は評価・段階導入が可能な業務案であり、現在のサイトが顧客、受注、在庫、会計、LINE、メール各システムと接続済みであることを示しません。アクセス、送信、自動化、頻度、保存期間、費用、責任はテスト結果と書面合意に基づきます。</w:t>
      </w:r>
    </w:p>
    <w:p>
      <w:pPr>
        <w:pStyle w:val="ToolkitNote"/>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17"/>
        </w:rPr>
        <w:t>These are workflows available for assessment and phased introduction. They do not imply that the current website is connected to customer, order, inventory, finance, LINE or email systems. Data access, sending, automation, cadence, retention, fees and responsibility remain subject to testing and written scope.</w:t>
      </w:r>
    </w:p>
    <w:p>
      <w:pPr>
        <w:pStyle w:val="Heading2"/>
      </w:pPr>
      <w:r>
        <w:t>權限確認 / 権限確認 / Access confirmation</w:t>
      </w:r>
    </w:p>
    <w:tbl>
      <w:tblPr>
        <w:tblW w:type="dxa" w:w="9360"/>
        <w:tblLayout w:type="fixed"/>
        <w:tblLook w:firstColumn="1" w:firstRow="1" w:lastColumn="0" w:lastRow="0" w:noHBand="0" w:noVBand="1" w:val="04A0"/>
        <w:jc w:val="left"/>
        <w:tblInd w:type="dxa" w:w="120"/>
      </w:tblPr>
      <w:tblGrid>
        <w:gridCol w:w="2340"/>
        <w:gridCol w:w="2340"/>
        <w:gridCol w:w="1800"/>
        <w:gridCol w:w="2880"/>
      </w:tblGrid>
      <w:tr>
        <w:trPr>
          <w:tblHeader w:val="true"/>
          <w:cantSplit/>
        </w:trPr>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c>
          <w:tcPr>
            <w:tcW w:type="dxa" w:w="18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18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88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r>
    </w:tbl>
    <w:p>
      <w:r>
        <w:br w:type="page"/>
      </w:r>
    </w:p>
    <w:p>
      <w:pPr>
        <w:pStyle w:val="ToolkitKicker"/>
      </w:pPr>
      <w:r>
        <w:t>AI 協作工具包 / AI協働ツールキット / AI OPERATIONS TOOLKIT</w:t>
      </w:r>
    </w:p>
    <w:p>
      <w:pPr>
        <w:pStyle w:val="Heading1"/>
      </w:pPr>
      <w:r>
        <w:t>導入程序 / 導入手順 / Implementation process</w:t>
      </w:r>
    </w:p>
    <w:tbl>
      <w:tblPr>
        <w:tblW w:type="dxa" w:w="9360"/>
        <w:tblLayout w:type="fixed"/>
        <w:tblLook w:firstColumn="1" w:firstRow="1" w:lastColumn="0" w:lastRow="0" w:noHBand="0" w:noVBand="1" w:val="04A0"/>
        <w:jc w:val="left"/>
        <w:tblInd w:type="dxa" w:w="120"/>
      </w:tblPr>
      <w:tblGrid>
        <w:gridCol w:w="900"/>
        <w:gridCol w:w="2820"/>
        <w:gridCol w:w="2820"/>
        <w:gridCol w:w="2820"/>
      </w:tblGrid>
      <w:tr>
        <w:trPr>
          <w:tblHeader w:val="true"/>
          <w:cantSplit/>
        </w:trPr>
        <w:tc>
          <w:tcPr>
            <w:tcW w:type="dxa" w:w="9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步驟 #</w:t>
            </w:r>
            <w:r>
              <w:br/>
            </w:r>
            <w:r>
              <w:rPr>
                <w:rFonts w:ascii="Noto Sans TC" w:hAnsi="Noto Sans TC" w:eastAsia="Noto Sans TC" w:cs="Noto Sans TC"/>
                <w:b/>
                <w:color w:val="FFFFFF"/>
                <w:sz w:val="17"/>
              </w:rPr>
              <w:t>工程番号</w:t>
            </w:r>
            <w:r>
              <w:br/>
            </w:r>
            <w:r>
              <w:rPr>
                <w:rFonts w:ascii="Noto Sans TC" w:hAnsi="Noto Sans TC" w:eastAsia="Noto Sans TC" w:cs="Noto Sans TC"/>
                <w:b/>
                <w:color w:val="FFFFFF"/>
                <w:sz w:val="17"/>
              </w:rPr>
              <w:t>Step #</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01</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指定唯一主行程</w:t>
            </w:r>
          </w:p>
          <w:p>
            <w:pPr>
              <w:spacing w:after="40" w:line="254" w:lineRule="auto"/>
            </w:pPr>
            <w:r>
              <w:rPr>
                <w:rFonts w:ascii="Noto Sans TC" w:hAnsi="Noto Sans TC" w:eastAsia="Noto Sans TC" w:cs="Noto Sans TC"/>
                <w:color w:val="172426"/>
                <w:sz w:val="15"/>
              </w:rPr>
              <w:t>確認哪一份檔案或表格是日期、場館與狀態的正式來源。</w:t>
            </w:r>
          </w:p>
          <w:p>
            <w:pPr>
              <w:spacing w:after="0" w:line="240" w:lineRule="auto"/>
            </w:pPr>
            <w:r>
              <w:rPr>
                <w:rFonts w:ascii="Noto Sans TC" w:hAnsi="Noto Sans TC" w:eastAsia="Noto Sans TC" w:cs="Noto Sans TC"/>
                <w:color w:val="5D6C6D"/>
                <w:sz w:val="14"/>
              </w:rPr>
              <w:t>活動負責人  |  主行程來源與欄位定義</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基準日程を指定</w:t>
            </w:r>
          </w:p>
          <w:p>
            <w:pPr>
              <w:spacing w:after="40" w:line="254" w:lineRule="auto"/>
            </w:pPr>
            <w:r>
              <w:rPr>
                <w:rFonts w:ascii="Noto Sans TC" w:hAnsi="Noto Sans TC" w:eastAsia="Noto Sans TC" w:cs="Noto Sans TC"/>
                <w:color w:val="172426"/>
                <w:sz w:val="15"/>
              </w:rPr>
              <w:t>正式な情報源と対象範囲を確認します。</w:t>
            </w:r>
          </w:p>
          <w:p>
            <w:pPr>
              <w:spacing w:after="0" w:line="240" w:lineRule="auto"/>
            </w:pPr>
            <w:r>
              <w:rPr>
                <w:rFonts w:ascii="Noto Sans TC" w:hAnsi="Noto Sans TC" w:eastAsia="Noto Sans TC" w:cs="Noto Sans TC"/>
                <w:color w:val="5D6C6D"/>
                <w:sz w:val="14"/>
              </w:rPr>
              <w:t>業務担当者  |  対象と情報源一覧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Nominate the master schedule</w:t>
            </w:r>
          </w:p>
          <w:p>
            <w:pPr>
              <w:spacing w:after="40" w:line="254" w:lineRule="auto"/>
            </w:pPr>
            <w:r>
              <w:rPr>
                <w:rFonts w:ascii="Noto Sans TC" w:hAnsi="Noto Sans TC" w:eastAsia="Noto Sans TC" w:cs="Noto Sans TC"/>
                <w:color w:val="172426"/>
                <w:sz w:val="15"/>
              </w:rPr>
              <w:t>Confirm the official source and bounded scope.</w:t>
            </w:r>
          </w:p>
          <w:p>
            <w:pPr>
              <w:spacing w:after="0" w:line="240" w:lineRule="auto"/>
            </w:pPr>
            <w:r>
              <w:rPr>
                <w:rFonts w:ascii="Noto Sans TC" w:hAnsi="Noto Sans TC" w:eastAsia="Noto Sans TC" w:cs="Noto Sans TC"/>
                <w:color w:val="5D6C6D"/>
                <w:sz w:val="14"/>
              </w:rPr>
              <w:t>Business owner  |  Scope and source list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02</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定義狀態與提醒節點</w:t>
            </w:r>
          </w:p>
          <w:p>
            <w:pPr>
              <w:spacing w:after="40" w:line="254" w:lineRule="auto"/>
            </w:pPr>
            <w:r>
              <w:rPr>
                <w:rFonts w:ascii="Noto Sans TC" w:hAnsi="Noto Sans TC" w:eastAsia="Noto Sans TC" w:cs="Noto Sans TC"/>
                <w:color w:val="172426"/>
                <w:sz w:val="15"/>
              </w:rPr>
              <w:t>統一暫定、已確認、更新、取消等狀態，並設定需要準備草稿的時間點。</w:t>
            </w:r>
          </w:p>
          <w:p>
            <w:pPr>
              <w:spacing w:after="0" w:line="240" w:lineRule="auto"/>
            </w:pPr>
            <w:r>
              <w:rPr>
                <w:rFonts w:ascii="Noto Sans TC" w:hAnsi="Noto Sans TC" w:eastAsia="Noto Sans TC" w:cs="Noto Sans TC"/>
                <w:color w:val="5D6C6D"/>
                <w:sz w:val="14"/>
              </w:rPr>
              <w:t>活動＋客服  |  狀態字典與提醒規則</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状態と案内時点を定義</w:t>
            </w:r>
          </w:p>
          <w:p>
            <w:pPr>
              <w:spacing w:after="40" w:line="254" w:lineRule="auto"/>
            </w:pPr>
            <w:r>
              <w:rPr>
                <w:rFonts w:ascii="Noto Sans TC" w:hAnsi="Noto Sans TC" w:eastAsia="Noto Sans TC" w:cs="Noto Sans TC"/>
                <w:color w:val="172426"/>
                <w:sz w:val="15"/>
              </w:rPr>
              <w:t>必要項目、状態、権限、承認条件を定義します。</w:t>
            </w:r>
          </w:p>
          <w:p>
            <w:pPr>
              <w:spacing w:after="0" w:line="240" w:lineRule="auto"/>
            </w:pPr>
            <w:r>
              <w:rPr>
                <w:rFonts w:ascii="Noto Sans TC" w:hAnsi="Noto Sans TC" w:eastAsia="Noto Sans TC" w:cs="Noto Sans TC"/>
                <w:color w:val="5D6C6D"/>
                <w:sz w:val="14"/>
              </w:rPr>
              <w:t>業務＋承認担当  |  項目・権限・承認ルール</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Define status and milestones</w:t>
            </w:r>
          </w:p>
          <w:p>
            <w:pPr>
              <w:spacing w:after="40" w:line="254" w:lineRule="auto"/>
            </w:pPr>
            <w:r>
              <w:rPr>
                <w:rFonts w:ascii="Noto Sans TC" w:hAnsi="Noto Sans TC" w:eastAsia="Noto Sans TC" w:cs="Noto Sans TC"/>
                <w:color w:val="172426"/>
                <w:sz w:val="15"/>
              </w:rPr>
              <w:t>Define required fields, status, access and approval conditions.</w:t>
            </w:r>
          </w:p>
          <w:p>
            <w:pPr>
              <w:spacing w:after="0" w:line="240" w:lineRule="auto"/>
            </w:pPr>
            <w:r>
              <w:rPr>
                <w:rFonts w:ascii="Noto Sans TC" w:hAnsi="Noto Sans TC" w:eastAsia="Noto Sans TC" w:cs="Noto Sans TC"/>
                <w:color w:val="5D6C6D"/>
                <w:sz w:val="14"/>
              </w:rPr>
              <w:t>Business and approval owners  |  Field, access and approval rules</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03</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跑一次差異比對</w:t>
            </w:r>
          </w:p>
          <w:p>
            <w:pPr>
              <w:spacing w:after="40" w:line="254" w:lineRule="auto"/>
            </w:pPr>
            <w:r>
              <w:rPr>
                <w:rFonts w:ascii="Noto Sans TC" w:hAnsi="Noto Sans TC" w:eastAsia="Noto Sans TC" w:cs="Noto Sans TC"/>
                <w:color w:val="172426"/>
                <w:sz w:val="15"/>
              </w:rPr>
              <w:t>以一檔實際活動比對舊值與新值，列出影響到的網站、日曆與通知渠道。</w:t>
            </w:r>
          </w:p>
          <w:p>
            <w:pPr>
              <w:spacing w:after="0" w:line="240" w:lineRule="auto"/>
            </w:pPr>
            <w:r>
              <w:rPr>
                <w:rFonts w:ascii="Noto Sans TC" w:hAnsi="Noto Sans TC" w:eastAsia="Noto Sans TC" w:cs="Noto Sans TC"/>
                <w:color w:val="5D6C6D"/>
                <w:sz w:val="14"/>
              </w:rPr>
              <w:t>AI 整理／人員覆核  |  異動與影響清單</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差分を一度比較</w:t>
            </w:r>
          </w:p>
          <w:p>
            <w:pPr>
              <w:spacing w:after="40" w:line="254" w:lineRule="auto"/>
            </w:pPr>
            <w:r>
              <w:rPr>
                <w:rFonts w:ascii="Noto Sans TC" w:hAnsi="Noto Sans TC" w:eastAsia="Noto Sans TC" w:cs="Noto Sans TC"/>
                <w:color w:val="172426"/>
                <w:sz w:val="15"/>
              </w:rPr>
              <w:t>匿名化した実データで一度テストし、差分と不足を確認します。</w:t>
            </w:r>
          </w:p>
          <w:p>
            <w:pPr>
              <w:spacing w:after="0" w:line="240" w:lineRule="auto"/>
            </w:pPr>
            <w:r>
              <w:rPr>
                <w:rFonts w:ascii="Noto Sans TC" w:hAnsi="Noto Sans TC" w:eastAsia="Noto Sans TC" w:cs="Noto Sans TC"/>
                <w:color w:val="5D6C6D"/>
                <w:sz w:val="14"/>
              </w:rPr>
              <w:t>AI整理／担当者確認  |  初回差分・不足一覧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Run one difference check</w:t>
            </w:r>
          </w:p>
          <w:p>
            <w:pPr>
              <w:spacing w:after="40" w:line="254" w:lineRule="auto"/>
            </w:pPr>
            <w:r>
              <w:rPr>
                <w:rFonts w:ascii="Noto Sans TC" w:hAnsi="Noto Sans TC" w:eastAsia="Noto Sans TC" w:cs="Noto Sans TC"/>
                <w:color w:val="172426"/>
                <w:sz w:val="15"/>
              </w:rPr>
              <w:t>Run one test with de-identified real data and review differences and gaps.</w:t>
            </w:r>
          </w:p>
          <w:p>
            <w:pPr>
              <w:spacing w:after="0" w:line="240" w:lineRule="auto"/>
            </w:pPr>
            <w:r>
              <w:rPr>
                <w:rFonts w:ascii="Noto Sans TC" w:hAnsi="Noto Sans TC" w:eastAsia="Noto Sans TC" w:cs="Noto Sans TC"/>
                <w:color w:val="5D6C6D"/>
                <w:sz w:val="14"/>
              </w:rPr>
              <w:t>AI preparation / human review  |  First difference and gap report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04</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產出核准前草稿</w:t>
            </w:r>
          </w:p>
          <w:p>
            <w:pPr>
              <w:spacing w:after="40" w:line="254" w:lineRule="auto"/>
            </w:pPr>
            <w:r>
              <w:rPr>
                <w:rFonts w:ascii="Noto Sans TC" w:hAnsi="Noto Sans TC" w:eastAsia="Noto Sans TC" w:cs="Noto Sans TC"/>
                <w:color w:val="172426"/>
                <w:sz w:val="15"/>
              </w:rPr>
              <w:t>依不同對象準備展前、改期或取消文案，不直接對外發送。</w:t>
            </w:r>
          </w:p>
          <w:p>
            <w:pPr>
              <w:spacing w:after="0" w:line="240" w:lineRule="auto"/>
            </w:pPr>
            <w:r>
              <w:rPr>
                <w:rFonts w:ascii="Noto Sans TC" w:hAnsi="Noto Sans TC" w:eastAsia="Noto Sans TC" w:cs="Noto Sans TC"/>
                <w:color w:val="5D6C6D"/>
                <w:sz w:val="14"/>
              </w:rPr>
              <w:t>AI 草擬／公司核准  |  網站、LINE、Email 與日曆草稿</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承認前原稿を作成</w:t>
            </w:r>
          </w:p>
          <w:p>
            <w:pPr>
              <w:spacing w:after="40" w:line="254" w:lineRule="auto"/>
            </w:pPr>
            <w:r>
              <w:rPr>
                <w:rFonts w:ascii="Noto Sans TC" w:hAnsi="Noto Sans TC" w:eastAsia="Noto Sans TC" w:cs="Noto Sans TC"/>
                <w:color w:val="172426"/>
                <w:sz w:val="15"/>
              </w:rPr>
              <w:t>AIが原稿または一覧を作り、担当者が事実とリスクを確認します。</w:t>
            </w:r>
          </w:p>
          <w:p>
            <w:pPr>
              <w:spacing w:after="0" w:line="240" w:lineRule="auto"/>
            </w:pPr>
            <w:r>
              <w:rPr>
                <w:rFonts w:ascii="Noto Sans TC" w:hAnsi="Noto Sans TC" w:eastAsia="Noto Sans TC" w:cs="Noto Sans TC"/>
                <w:color w:val="5D6C6D"/>
                <w:sz w:val="14"/>
              </w:rPr>
              <w:t>AI作成／担当者承認  |  承認前成果物</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Prepare pre-approval drafts</w:t>
            </w:r>
          </w:p>
          <w:p>
            <w:pPr>
              <w:spacing w:after="40" w:line="254" w:lineRule="auto"/>
            </w:pPr>
            <w:r>
              <w:rPr>
                <w:rFonts w:ascii="Noto Sans TC" w:hAnsi="Noto Sans TC" w:eastAsia="Noto Sans TC" w:cs="Noto Sans TC"/>
                <w:color w:val="172426"/>
                <w:sz w:val="15"/>
              </w:rPr>
              <w:t>AI prepares the draft or report; authorised staff review facts and risks.</w:t>
            </w:r>
          </w:p>
          <w:p>
            <w:pPr>
              <w:spacing w:after="0" w:line="240" w:lineRule="auto"/>
            </w:pPr>
            <w:r>
              <w:rPr>
                <w:rFonts w:ascii="Noto Sans TC" w:hAnsi="Noto Sans TC" w:eastAsia="Noto Sans TC" w:cs="Noto Sans TC"/>
                <w:color w:val="5D6C6D"/>
                <w:sz w:val="14"/>
              </w:rPr>
              <w:t>AI draft / staff approval  |  Pre-approval deliverable</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05</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發布並保留版本</w:t>
            </w:r>
          </w:p>
          <w:p>
            <w:pPr>
              <w:spacing w:after="40" w:line="254" w:lineRule="auto"/>
            </w:pPr>
            <w:r>
              <w:rPr>
                <w:rFonts w:ascii="Noto Sans TC" w:hAnsi="Noto Sans TC" w:eastAsia="Noto Sans TC" w:cs="Noto Sans TC"/>
                <w:color w:val="172426"/>
                <w:sz w:val="15"/>
              </w:rPr>
              <w:t>由獲授權人員確認後更新，記錄來源、核准人、時間與待追蹤項目。</w:t>
            </w:r>
          </w:p>
          <w:p>
            <w:pPr>
              <w:spacing w:after="0" w:line="240" w:lineRule="auto"/>
            </w:pPr>
            <w:r>
              <w:rPr>
                <w:rFonts w:ascii="Noto Sans TC" w:hAnsi="Noto Sans TC" w:eastAsia="Noto Sans TC" w:cs="Noto Sans TC"/>
                <w:color w:val="5D6C6D"/>
                <w:sz w:val="14"/>
              </w:rPr>
              <w:t>獲授權發布人員  |  發布記錄與下次檢查日</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公開と版管理</w:t>
            </w:r>
          </w:p>
          <w:p>
            <w:pPr>
              <w:spacing w:after="40" w:line="254" w:lineRule="auto"/>
            </w:pPr>
            <w:r>
              <w:rPr>
                <w:rFonts w:ascii="Noto Sans TC" w:hAnsi="Noto Sans TC" w:eastAsia="Noto Sans TC" w:cs="Noto Sans TC"/>
                <w:color w:val="172426"/>
                <w:sz w:val="15"/>
              </w:rPr>
              <w:t>承認結果、版、担当者、次回確認日を記録します。</w:t>
            </w:r>
          </w:p>
          <w:p>
            <w:pPr>
              <w:spacing w:after="0" w:line="240" w:lineRule="auto"/>
            </w:pPr>
            <w:r>
              <w:rPr>
                <w:rFonts w:ascii="Noto Sans TC" w:hAnsi="Noto Sans TC" w:eastAsia="Noto Sans TC" w:cs="Noto Sans TC"/>
                <w:color w:val="5D6C6D"/>
                <w:sz w:val="14"/>
              </w:rPr>
              <w:t>権限を持つ担当者  |  版・承認・次回確認記録</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Publish and retain the version</w:t>
            </w:r>
          </w:p>
          <w:p>
            <w:pPr>
              <w:spacing w:after="40" w:line="254" w:lineRule="auto"/>
            </w:pPr>
            <w:r>
              <w:rPr>
                <w:rFonts w:ascii="Noto Sans TC" w:hAnsi="Noto Sans TC" w:eastAsia="Noto Sans TC" w:cs="Noto Sans TC"/>
                <w:color w:val="172426"/>
                <w:sz w:val="15"/>
              </w:rPr>
              <w:t>Record approval, version, owner and the next review date.</w:t>
            </w:r>
          </w:p>
          <w:p>
            <w:pPr>
              <w:spacing w:after="0" w:line="240" w:lineRule="auto"/>
            </w:pPr>
            <w:r>
              <w:rPr>
                <w:rFonts w:ascii="Noto Sans TC" w:hAnsi="Noto Sans TC" w:eastAsia="Noto Sans TC" w:cs="Noto Sans TC"/>
                <w:color w:val="5D6C6D"/>
                <w:sz w:val="14"/>
              </w:rPr>
              <w:t>Authorised staff  |  Version, approval and next-review record</w:t>
            </w:r>
          </w:p>
        </w:tc>
      </w:tr>
    </w:tbl>
    <w:p>
      <w:pPr>
        <w:pStyle w:val="ToolkitKicker"/>
        <w:pageBreakBefore/>
      </w:pPr>
      <w:r>
        <w:t>可填寫範本 / 記入用テンプレート / FILLABLE TEMPLATE  01.1</w:t>
      </w:r>
    </w:p>
    <w:p>
      <w:pPr>
        <w:pStyle w:val="Heading1"/>
        <w:spacing w:before="0"/>
      </w:pPr>
      <w:r>
        <w:t>日本展行程主檔</w:t>
      </w:r>
    </w:p>
    <w:p>
      <w:pPr>
        <w:pStyle w:val="ToolkitLead"/>
      </w:pPr>
      <w:r>
        <w:rPr>
          <w:rFonts w:ascii="Noto Sans TC" w:hAnsi="Noto Sans TC" w:eastAsia="Noto Sans TC" w:cs="Noto Sans TC"/>
          <w:b/>
          <w:color w:val="173F42"/>
          <w:sz w:val="21"/>
        </w:rPr>
        <w:t>催事日程マスター</w:t>
      </w:r>
      <w:r>
        <w:br/>
      </w:r>
      <w:r>
        <w:rPr>
          <w:rFonts w:ascii="Noto Sans TC" w:hAnsi="Noto Sans TC" w:eastAsia="Noto Sans TC" w:cs="Noto Sans TC"/>
          <w:b/>
          <w:color w:val="5D6C6D"/>
          <w:sz w:val="20"/>
        </w:rPr>
        <w:t>Fair master schedule</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統一每一場活動的日期、場館、狀態與來源。</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日程、会場、状態と根拠を一元管理。</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Keep dates, venues, status and sources aligned.</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活動編號與名稱</w:t>
            </w:r>
            <w:r>
              <w:br/>
            </w:r>
            <w:r>
              <w:rPr>
                <w:rFonts w:ascii="Noto Sans TC" w:hAnsi="Noto Sans TC" w:eastAsia="Noto Sans TC" w:cs="Noto Sans TC"/>
                <w:b w:val="0"/>
                <w:color w:val="172426"/>
                <w:sz w:val="16"/>
              </w:rPr>
              <w:t>催事ID・名称</w:t>
            </w:r>
            <w:r>
              <w:br/>
            </w:r>
            <w:r>
              <w:rPr>
                <w:rFonts w:ascii="Noto Sans TC" w:hAnsi="Noto Sans TC" w:eastAsia="Noto Sans TC" w:cs="Noto Sans TC"/>
                <w:b w:val="0"/>
                <w:color w:val="172426"/>
                <w:sz w:val="16"/>
              </w:rPr>
              <w:t>Event ID and name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開始／結束日期</w:t>
            </w:r>
            <w:r>
              <w:br/>
            </w:r>
            <w:r>
              <w:rPr>
                <w:rFonts w:ascii="Noto Sans TC" w:hAnsi="Noto Sans TC" w:eastAsia="Noto Sans TC" w:cs="Noto Sans TC"/>
                <w:b w:val="0"/>
                <w:color w:val="172426"/>
                <w:sz w:val="16"/>
              </w:rPr>
              <w:t>開始・終了日</w:t>
            </w:r>
            <w:r>
              <w:br/>
            </w:r>
            <w:r>
              <w:rPr>
                <w:rFonts w:ascii="Noto Sans TC" w:hAnsi="Noto Sans TC" w:eastAsia="Noto Sans TC" w:cs="Noto Sans TC"/>
                <w:b w:val="0"/>
                <w:color w:val="172426"/>
                <w:sz w:val="16"/>
              </w:rPr>
              <w:t>Start and end dates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場館、城市、樓層或櫃位</w:t>
            </w:r>
            <w:r>
              <w:br/>
            </w:r>
            <w:r>
              <w:rPr>
                <w:rFonts w:ascii="Noto Sans TC" w:hAnsi="Noto Sans TC" w:eastAsia="Noto Sans TC" w:cs="Noto Sans TC"/>
                <w:b w:val="0"/>
                <w:color w:val="172426"/>
                <w:sz w:val="16"/>
              </w:rPr>
              <w:t>会場・都市・売場</w:t>
            </w:r>
            <w:r>
              <w:br/>
            </w:r>
            <w:r>
              <w:rPr>
                <w:rFonts w:ascii="Noto Sans TC" w:hAnsi="Noto Sans TC" w:eastAsia="Noto Sans TC" w:cs="Noto Sans TC"/>
                <w:b w:val="0"/>
                <w:color w:val="172426"/>
                <w:sz w:val="16"/>
              </w:rPr>
              <w:t>Venue, city and location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公開狀態</w:t>
            </w:r>
            <w:r>
              <w:br/>
            </w:r>
            <w:r>
              <w:rPr>
                <w:rFonts w:ascii="Noto Sans TC" w:hAnsi="Noto Sans TC" w:eastAsia="Noto Sans TC" w:cs="Noto Sans TC"/>
                <w:b w:val="0"/>
                <w:color w:val="172426"/>
                <w:sz w:val="16"/>
              </w:rPr>
              <w:t>公開状態</w:t>
            </w:r>
            <w:r>
              <w:br/>
            </w:r>
            <w:r>
              <w:rPr>
                <w:rFonts w:ascii="Noto Sans TC" w:hAnsi="Noto Sans TC" w:eastAsia="Noto Sans TC" w:cs="Noto Sans TC"/>
                <w:b w:val="0"/>
                <w:color w:val="172426"/>
                <w:sz w:val="16"/>
              </w:rPr>
              <w:t>Publication status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進撤場時間</w:t>
            </w:r>
            <w:r>
              <w:br/>
            </w:r>
            <w:r>
              <w:rPr>
                <w:rFonts w:ascii="Noto Sans TC" w:hAnsi="Noto Sans TC" w:eastAsia="Noto Sans TC" w:cs="Noto Sans TC"/>
                <w:b w:val="0"/>
                <w:color w:val="172426"/>
                <w:sz w:val="16"/>
              </w:rPr>
              <w:t>搬入出</w:t>
            </w:r>
            <w:r>
              <w:br/>
            </w:r>
            <w:r>
              <w:rPr>
                <w:rFonts w:ascii="Noto Sans TC" w:hAnsi="Noto Sans TC" w:eastAsia="Noto Sans TC" w:cs="Noto Sans TC"/>
                <w:b w:val="0"/>
                <w:color w:val="172426"/>
                <w:sz w:val="16"/>
              </w:rPr>
              <w:t>Move-in/out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承辦窗口</w:t>
            </w:r>
            <w:r>
              <w:br/>
            </w:r>
            <w:r>
              <w:rPr>
                <w:rFonts w:ascii="Noto Sans TC" w:hAnsi="Noto Sans TC" w:eastAsia="Noto Sans TC" w:cs="Noto Sans TC"/>
                <w:b w:val="0"/>
                <w:color w:val="172426"/>
                <w:sz w:val="16"/>
              </w:rPr>
              <w:t>担当窓口</w:t>
            </w:r>
            <w:r>
              <w:br/>
            </w:r>
            <w:r>
              <w:rPr>
                <w:rFonts w:ascii="Noto Sans TC" w:hAnsi="Noto Sans TC" w:eastAsia="Noto Sans TC" w:cs="Noto Sans TC"/>
                <w:b w:val="0"/>
                <w:color w:val="172426"/>
                <w:sz w:val="16"/>
              </w:rPr>
              <w:t>Contact 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來源文件或網址</w:t>
            </w:r>
            <w:r>
              <w:br/>
            </w:r>
            <w:r>
              <w:rPr>
                <w:rFonts w:ascii="Noto Sans TC" w:hAnsi="Noto Sans TC" w:eastAsia="Noto Sans TC" w:cs="Noto Sans TC"/>
                <w:b w:val="0"/>
                <w:color w:val="172426"/>
                <w:sz w:val="16"/>
              </w:rPr>
              <w:t>根拠資料・URL</w:t>
            </w:r>
            <w:r>
              <w:br/>
            </w:r>
            <w:r>
              <w:rPr>
                <w:rFonts w:ascii="Noto Sans TC" w:hAnsi="Noto Sans TC" w:eastAsia="Noto Sans TC" w:cs="Noto Sans TC"/>
                <w:b w:val="0"/>
                <w:color w:val="172426"/>
                <w:sz w:val="16"/>
              </w:rPr>
              <w:t>Source file or URL</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最後核對日與核准人</w:t>
            </w:r>
            <w:r>
              <w:br/>
            </w:r>
            <w:r>
              <w:rPr>
                <w:rFonts w:ascii="Noto Sans TC" w:hAnsi="Noto Sans TC" w:eastAsia="Noto Sans TC" w:cs="Noto Sans TC"/>
                <w:b w:val="0"/>
                <w:color w:val="172426"/>
                <w:sz w:val="16"/>
              </w:rPr>
              <w:t>確認日・承認者</w:t>
            </w:r>
            <w:r>
              <w:br/>
            </w:r>
            <w:r>
              <w:rPr>
                <w:rFonts w:ascii="Noto Sans TC" w:hAnsi="Noto Sans TC" w:eastAsia="Noto Sans TC" w:cs="Noto Sans TC"/>
                <w:b w:val="0"/>
                <w:color w:val="172426"/>
                <w:sz w:val="16"/>
              </w:rPr>
              <w:t>Last check and approver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01.2</w:t>
      </w:r>
    </w:p>
    <w:p>
      <w:pPr>
        <w:pStyle w:val="Heading1"/>
        <w:spacing w:before="0"/>
      </w:pPr>
      <w:r>
        <w:t>行程異動影響表</w:t>
      </w:r>
    </w:p>
    <w:p>
      <w:pPr>
        <w:pStyle w:val="ToolkitLead"/>
      </w:pPr>
      <w:r>
        <w:rPr>
          <w:rFonts w:ascii="Noto Sans TC" w:hAnsi="Noto Sans TC" w:eastAsia="Noto Sans TC" w:cs="Noto Sans TC"/>
          <w:b/>
          <w:color w:val="173F42"/>
          <w:sz w:val="21"/>
        </w:rPr>
        <w:t>日程変更影響表</w:t>
      </w:r>
      <w:r>
        <w:br/>
      </w:r>
      <w:r>
        <w:rPr>
          <w:rFonts w:ascii="Noto Sans TC" w:hAnsi="Noto Sans TC" w:eastAsia="Noto Sans TC" w:cs="Noto Sans TC"/>
          <w:b/>
          <w:color w:val="5D6C6D"/>
          <w:sz w:val="20"/>
        </w:rPr>
        <w:t>Schedule change impact sheet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在改期、取消或場地變更時，確認所有受影響渠道。</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変更時に影響する全チャネルを確認。</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Identify every channel affected by a change.</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原值與新值</w:t>
            </w:r>
            <w:r>
              <w:br/>
            </w:r>
            <w:r>
              <w:rPr>
                <w:rFonts w:ascii="Noto Sans TC" w:hAnsi="Noto Sans TC" w:eastAsia="Noto Sans TC" w:cs="Noto Sans TC"/>
                <w:b w:val="0"/>
                <w:color w:val="172426"/>
                <w:sz w:val="16"/>
              </w:rPr>
              <w:t>変更前・変更後</w:t>
            </w:r>
            <w:r>
              <w:br/>
            </w:r>
            <w:r>
              <w:rPr>
                <w:rFonts w:ascii="Noto Sans TC" w:hAnsi="Noto Sans TC" w:eastAsia="Noto Sans TC" w:cs="Noto Sans TC"/>
                <w:b w:val="0"/>
                <w:color w:val="172426"/>
                <w:sz w:val="16"/>
              </w:rPr>
              <w:t>Old and new values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異動來源與時間</w:t>
            </w:r>
            <w:r>
              <w:br/>
            </w:r>
            <w:r>
              <w:rPr>
                <w:rFonts w:ascii="Noto Sans TC" w:hAnsi="Noto Sans TC" w:eastAsia="Noto Sans TC" w:cs="Noto Sans TC"/>
                <w:b w:val="0"/>
                <w:color w:val="172426"/>
                <w:sz w:val="16"/>
              </w:rPr>
              <w:t>変更の根拠</w:t>
            </w:r>
            <w:r>
              <w:br/>
            </w:r>
            <w:r>
              <w:rPr>
                <w:rFonts w:ascii="Noto Sans TC" w:hAnsi="Noto Sans TC" w:eastAsia="Noto Sans TC" w:cs="Noto Sans TC"/>
                <w:b w:val="0"/>
                <w:color w:val="172426"/>
                <w:sz w:val="16"/>
              </w:rPr>
              <w:t>Change source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受影響頁面／日曆／通知</w:t>
            </w:r>
            <w:r>
              <w:br/>
            </w:r>
            <w:r>
              <w:rPr>
                <w:rFonts w:ascii="Noto Sans TC" w:hAnsi="Noto Sans TC" w:eastAsia="Noto Sans TC" w:cs="Noto Sans TC"/>
                <w:b w:val="0"/>
                <w:color w:val="172426"/>
                <w:sz w:val="16"/>
              </w:rPr>
              <w:t>影響ページ・カレンダー・案内</w:t>
            </w:r>
            <w:r>
              <w:br/>
            </w:r>
            <w:r>
              <w:rPr>
                <w:rFonts w:ascii="Noto Sans TC" w:hAnsi="Noto Sans TC" w:eastAsia="Noto Sans TC" w:cs="Noto Sans TC"/>
                <w:b w:val="0"/>
                <w:color w:val="172426"/>
                <w:sz w:val="16"/>
              </w:rPr>
              <w:t>Affected pages, calendar and notices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需修正內容</w:t>
            </w:r>
            <w:r>
              <w:br/>
            </w:r>
            <w:r>
              <w:rPr>
                <w:rFonts w:ascii="Noto Sans TC" w:hAnsi="Noto Sans TC" w:eastAsia="Noto Sans TC" w:cs="Noto Sans TC"/>
                <w:b w:val="0"/>
                <w:color w:val="172426"/>
                <w:sz w:val="16"/>
              </w:rPr>
              <w:t>修正内容</w:t>
            </w:r>
            <w:r>
              <w:br/>
            </w:r>
            <w:r>
              <w:rPr>
                <w:rFonts w:ascii="Noto Sans TC" w:hAnsi="Noto Sans TC" w:eastAsia="Noto Sans TC" w:cs="Noto Sans TC"/>
                <w:b w:val="0"/>
                <w:color w:val="172426"/>
                <w:sz w:val="16"/>
              </w:rPr>
              <w:t>Required correction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風險與待決定事項</w:t>
            </w:r>
            <w:r>
              <w:br/>
            </w:r>
            <w:r>
              <w:rPr>
                <w:rFonts w:ascii="Noto Sans TC" w:hAnsi="Noto Sans TC" w:eastAsia="Noto Sans TC" w:cs="Noto Sans TC"/>
                <w:b w:val="0"/>
                <w:color w:val="172426"/>
                <w:sz w:val="16"/>
              </w:rPr>
              <w:t>リスク・要判断</w:t>
            </w:r>
            <w:r>
              <w:br/>
            </w:r>
            <w:r>
              <w:rPr>
                <w:rFonts w:ascii="Noto Sans TC" w:hAnsi="Noto Sans TC" w:eastAsia="Noto Sans TC" w:cs="Noto Sans TC"/>
                <w:b w:val="0"/>
                <w:color w:val="172426"/>
                <w:sz w:val="16"/>
              </w:rPr>
              <w:t>Risks and decisions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負責人與期限</w:t>
            </w:r>
            <w:r>
              <w:br/>
            </w:r>
            <w:r>
              <w:rPr>
                <w:rFonts w:ascii="Noto Sans TC" w:hAnsi="Noto Sans TC" w:eastAsia="Noto Sans TC" w:cs="Noto Sans TC"/>
                <w:b w:val="0"/>
                <w:color w:val="172426"/>
                <w:sz w:val="16"/>
              </w:rPr>
              <w:t>担当者・期限</w:t>
            </w:r>
            <w:r>
              <w:br/>
            </w:r>
            <w:r>
              <w:rPr>
                <w:rFonts w:ascii="Noto Sans TC" w:hAnsi="Noto Sans TC" w:eastAsia="Noto Sans TC" w:cs="Noto Sans TC"/>
                <w:b w:val="0"/>
                <w:color w:val="172426"/>
                <w:sz w:val="16"/>
              </w:rPr>
              <w:t>Owner and due date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核准狀態</w:t>
            </w:r>
            <w:r>
              <w:br/>
            </w:r>
            <w:r>
              <w:rPr>
                <w:rFonts w:ascii="Noto Sans TC" w:hAnsi="Noto Sans TC" w:eastAsia="Noto Sans TC" w:cs="Noto Sans TC"/>
                <w:b w:val="0"/>
                <w:color w:val="172426"/>
                <w:sz w:val="16"/>
              </w:rPr>
              <w:t>承認状態</w:t>
            </w:r>
            <w:r>
              <w:br/>
            </w:r>
            <w:r>
              <w:rPr>
                <w:rFonts w:ascii="Noto Sans TC" w:hAnsi="Noto Sans TC" w:eastAsia="Noto Sans TC" w:cs="Noto Sans TC"/>
                <w:b w:val="0"/>
                <w:color w:val="172426"/>
                <w:sz w:val="16"/>
              </w:rPr>
              <w:t>Approval status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01.3</w:t>
      </w:r>
    </w:p>
    <w:p>
      <w:pPr>
        <w:pStyle w:val="Heading1"/>
        <w:spacing w:before="0"/>
      </w:pPr>
      <w:r>
        <w:t>客戶通知核准單</w:t>
      </w:r>
    </w:p>
    <w:p>
      <w:pPr>
        <w:pStyle w:val="ToolkitLead"/>
      </w:pPr>
      <w:r>
        <w:rPr>
          <w:rFonts w:ascii="Noto Sans TC" w:hAnsi="Noto Sans TC" w:eastAsia="Noto Sans TC" w:cs="Noto Sans TC"/>
          <w:b/>
          <w:color w:val="173F42"/>
          <w:sz w:val="21"/>
        </w:rPr>
        <w:t>顧客案内承認票</w:t>
      </w:r>
      <w:r>
        <w:br/>
      </w:r>
      <w:r>
        <w:rPr>
          <w:rFonts w:ascii="Noto Sans TC" w:hAnsi="Noto Sans TC" w:eastAsia="Noto Sans TC" w:cs="Noto Sans TC"/>
          <w:b/>
          <w:color w:val="5D6C6D"/>
          <w:sz w:val="20"/>
        </w:rPr>
        <w:t>Customer notice approval sheet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讓每一次外部通知都有對象、文案與核准記錄。</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対象、文面、時刻、承認を記録。</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Record the audience, copy, time and approval.</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活動與通知原因</w:t>
            </w:r>
            <w:r>
              <w:br/>
            </w:r>
            <w:r>
              <w:rPr>
                <w:rFonts w:ascii="Noto Sans TC" w:hAnsi="Noto Sans TC" w:eastAsia="Noto Sans TC" w:cs="Noto Sans TC"/>
                <w:b w:val="0"/>
                <w:color w:val="172426"/>
                <w:sz w:val="16"/>
              </w:rPr>
              <w:t>催事・案内理由</w:t>
            </w:r>
            <w:r>
              <w:br/>
            </w:r>
            <w:r>
              <w:rPr>
                <w:rFonts w:ascii="Noto Sans TC" w:hAnsi="Noto Sans TC" w:eastAsia="Noto Sans TC" w:cs="Noto Sans TC"/>
                <w:b w:val="0"/>
                <w:color w:val="172426"/>
                <w:sz w:val="16"/>
              </w:rPr>
              <w:t>Event and reason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通知對象規則</w:t>
            </w:r>
            <w:r>
              <w:br/>
            </w:r>
            <w:r>
              <w:rPr>
                <w:rFonts w:ascii="Noto Sans TC" w:hAnsi="Noto Sans TC" w:eastAsia="Noto Sans TC" w:cs="Noto Sans TC"/>
                <w:b w:val="0"/>
                <w:color w:val="172426"/>
                <w:sz w:val="16"/>
              </w:rPr>
              <w:t>対象者ルール</w:t>
            </w:r>
            <w:r>
              <w:br/>
            </w:r>
            <w:r>
              <w:rPr>
                <w:rFonts w:ascii="Noto Sans TC" w:hAnsi="Noto Sans TC" w:eastAsia="Noto Sans TC" w:cs="Noto Sans TC"/>
                <w:b w:val="0"/>
                <w:color w:val="172426"/>
                <w:sz w:val="16"/>
              </w:rPr>
              <w:t>Audience rule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渠道</w:t>
            </w:r>
            <w:r>
              <w:br/>
            </w:r>
            <w:r>
              <w:rPr>
                <w:rFonts w:ascii="Noto Sans TC" w:hAnsi="Noto Sans TC" w:eastAsia="Noto Sans TC" w:cs="Noto Sans TC"/>
                <w:b w:val="0"/>
                <w:color w:val="172426"/>
                <w:sz w:val="16"/>
              </w:rPr>
              <w:t>チャネル</w:t>
            </w:r>
            <w:r>
              <w:br/>
            </w:r>
            <w:r>
              <w:rPr>
                <w:rFonts w:ascii="Noto Sans TC" w:hAnsi="Noto Sans TC" w:eastAsia="Noto Sans TC" w:cs="Noto Sans TC"/>
                <w:b w:val="0"/>
                <w:color w:val="172426"/>
                <w:sz w:val="16"/>
              </w:rPr>
              <w:t>Channel</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主旨與內文</w:t>
            </w:r>
            <w:r>
              <w:br/>
            </w:r>
            <w:r>
              <w:rPr>
                <w:rFonts w:ascii="Noto Sans TC" w:hAnsi="Noto Sans TC" w:eastAsia="Noto Sans TC" w:cs="Noto Sans TC"/>
                <w:b w:val="0"/>
                <w:color w:val="172426"/>
                <w:sz w:val="16"/>
              </w:rPr>
              <w:t>件名・本文</w:t>
            </w:r>
            <w:r>
              <w:br/>
            </w:r>
            <w:r>
              <w:rPr>
                <w:rFonts w:ascii="Noto Sans TC" w:hAnsi="Noto Sans TC" w:eastAsia="Noto Sans TC" w:cs="Noto Sans TC"/>
                <w:b w:val="0"/>
                <w:color w:val="172426"/>
                <w:sz w:val="16"/>
              </w:rPr>
              <w:t>Subject and body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預定發送時間</w:t>
            </w:r>
            <w:r>
              <w:br/>
            </w:r>
            <w:r>
              <w:rPr>
                <w:rFonts w:ascii="Noto Sans TC" w:hAnsi="Noto Sans TC" w:eastAsia="Noto Sans TC" w:cs="Noto Sans TC"/>
                <w:b w:val="0"/>
                <w:color w:val="172426"/>
                <w:sz w:val="16"/>
              </w:rPr>
              <w:t>送信予定</w:t>
            </w:r>
            <w:r>
              <w:br/>
            </w:r>
            <w:r>
              <w:rPr>
                <w:rFonts w:ascii="Noto Sans TC" w:hAnsi="Noto Sans TC" w:eastAsia="Noto Sans TC" w:cs="Noto Sans TC"/>
                <w:b w:val="0"/>
                <w:color w:val="172426"/>
                <w:sz w:val="16"/>
              </w:rPr>
              <w:t>Planned time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同意或合法使用依據</w:t>
            </w:r>
            <w:r>
              <w:br/>
            </w:r>
            <w:r>
              <w:rPr>
                <w:rFonts w:ascii="Noto Sans TC" w:hAnsi="Noto Sans TC" w:eastAsia="Noto Sans TC" w:cs="Noto Sans TC"/>
                <w:b w:val="0"/>
                <w:color w:val="172426"/>
                <w:sz w:val="16"/>
              </w:rPr>
              <w:t>利用根拠</w:t>
            </w:r>
            <w:r>
              <w:br/>
            </w:r>
            <w:r>
              <w:rPr>
                <w:rFonts w:ascii="Noto Sans TC" w:hAnsi="Noto Sans TC" w:eastAsia="Noto Sans TC" w:cs="Noto Sans TC"/>
                <w:b w:val="0"/>
                <w:color w:val="172426"/>
                <w:sz w:val="16"/>
              </w:rPr>
              <w:t>Lawful-use basis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核准人</w:t>
            </w:r>
            <w:r>
              <w:br/>
            </w:r>
            <w:r>
              <w:rPr>
                <w:rFonts w:ascii="Noto Sans TC" w:hAnsi="Noto Sans TC" w:eastAsia="Noto Sans TC" w:cs="Noto Sans TC"/>
                <w:b w:val="0"/>
                <w:color w:val="172426"/>
                <w:sz w:val="16"/>
              </w:rPr>
              <w:t>承認者</w:t>
            </w:r>
            <w:r>
              <w:br/>
            </w:r>
            <w:r>
              <w:rPr>
                <w:rFonts w:ascii="Noto Sans TC" w:hAnsi="Noto Sans TC" w:eastAsia="Noto Sans TC" w:cs="Noto Sans TC"/>
                <w:b w:val="0"/>
                <w:color w:val="172426"/>
                <w:sz w:val="16"/>
              </w:rPr>
              <w:t>Approver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實際發送記錄</w:t>
            </w:r>
            <w:r>
              <w:br/>
            </w:r>
            <w:r>
              <w:rPr>
                <w:rFonts w:ascii="Noto Sans TC" w:hAnsi="Noto Sans TC" w:eastAsia="Noto Sans TC" w:cs="Noto Sans TC"/>
                <w:b w:val="0"/>
                <w:color w:val="172426"/>
                <w:sz w:val="16"/>
              </w:rPr>
              <w:t>送信記録</w:t>
            </w:r>
            <w:r>
              <w:br/>
            </w:r>
            <w:r>
              <w:rPr>
                <w:rFonts w:ascii="Noto Sans TC" w:hAnsi="Noto Sans TC" w:eastAsia="Noto Sans TC" w:cs="Noto Sans TC"/>
                <w:b w:val="0"/>
                <w:color w:val="172426"/>
                <w:sz w:val="16"/>
              </w:rPr>
              <w:t>Sending record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Noto Sans TC" w:hAnsi="Noto Sans TC" w:eastAsia="Noto Sans TC" w:cs="Noto Sans TC"/>
        <w:color w:val="5D6C6D"/>
        <w:sz w:val="16"/>
      </w:rPr>
      <w:t xml:space="preserve">v1.0.0  |  2026-08-21  |  頁 / ページ / Page </w:t>
    </w:r>
    <w:r>
      <w:rPr>
        <w:rFonts w:ascii="Noto Sans TC" w:hAnsi="Noto Sans TC" w:eastAsia="Noto Sans TC" w:cs="Noto Sans TC"/>
        <w:color w:val="5D6C6D"/>
        <w:sz w:val="16"/>
      </w:rPr>
      <w:fldChar w:fldCharType="begin"/>
      <w:instrText xml:space="preserve"> PAGE </w:instrText>
      <w:fldChar w:fldCharType="separate"/>
      <w:t>1</w:t>
      <w:fldChar w:fldCharType="end"/>
    </w:r>
    <w:r>
      <w:rPr>
        <w:rFonts w:ascii="Noto Sans TC" w:hAnsi="Noto Sans TC" w:eastAsia="Noto Sans TC" w:cs="Noto Sans TC"/>
        <w:color w:val="5D6C6D"/>
        <w:sz w:val="16"/>
      </w:rPr>
      <w:t xml:space="preserve"> / </w:t>
    </w:r>
    <w:r>
      <w:rPr>
        <w:rFonts w:ascii="Noto Sans TC" w:hAnsi="Noto Sans TC" w:eastAsia="Noto Sans TC" w:cs="Noto Sans TC"/>
        <w:color w:val="5D6C6D"/>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
      <w:rPr>
        <w:rFonts w:ascii="Noto Sans TC" w:hAnsi="Noto Sans TC" w:eastAsia="Noto Sans TC" w:cs="Noto Sans TC"/>
        <w:b/>
        <w:color w:val="102C2E"/>
        <w:sz w:val="17"/>
      </w:rPr>
      <w:t>KANEKYU  |  AI TOOLKIT 01</w:t>
    </w:r>
    <w:r>
      <w:rPr>
        <w:rFonts w:ascii="Noto Sans TC" w:hAnsi="Noto Sans TC" w:eastAsia="Noto Sans TC" w:cs="Noto Sans TC"/>
        <w:color w:val="5D6C6D"/>
        <w:sz w:val="16"/>
      </w:rPr>
      <w:tab/>
      <w:t>fair-notices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before="0" w:after="120" w:line="300" w:lineRule="auto"/>
    </w:pPr>
    <w:rPr>
      <w:rFonts w:ascii="Noto Sans TC" w:hAnsi="Noto Sans TC" w:eastAsia="Noto Sans TC" w:cs="Noto Sans TC"/>
      <w:b w:val="0"/>
      <w:color w:val="1724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line="276" w:lineRule="auto"/>
      <w:outlineLvl w:val="0"/>
    </w:pPr>
    <w:rPr>
      <w:rFonts w:asciiTheme="majorHAnsi" w:eastAsiaTheme="majorEastAsia" w:hAnsiTheme="majorHAnsi" w:cstheme="majorBidi" w:ascii="Noto Sans TC" w:hAnsi="Noto Sans TC" w:eastAsia="Noto Sans TC" w:cs="Noto Sans TC"/>
      <w:b/>
      <w:bCs/>
      <w:color w:val="102C2E"/>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line="276" w:lineRule="auto"/>
      <w:outlineLvl w:val="1"/>
    </w:pPr>
    <w:rPr>
      <w:rFonts w:asciiTheme="majorHAnsi" w:eastAsiaTheme="majorEastAsia" w:hAnsiTheme="majorHAnsi" w:cstheme="majorBidi" w:ascii="Noto Sans TC" w:hAnsi="Noto Sans TC" w:eastAsia="Noto Sans TC" w:cs="Noto Sans TC"/>
      <w:b/>
      <w:bCs/>
      <w:color w:val="173F42"/>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line="276" w:lineRule="auto"/>
      <w:outlineLvl w:val="2"/>
    </w:pPr>
    <w:rPr>
      <w:rFonts w:asciiTheme="majorHAnsi" w:eastAsiaTheme="majorEastAsia" w:hAnsiTheme="majorHAnsi" w:cstheme="majorBidi" w:ascii="Noto Sans TC" w:hAnsi="Noto Sans TC" w:eastAsia="Noto Sans TC" w:cs="Noto Sans TC"/>
      <w:b/>
      <w:bCs/>
      <w:color w:val="173F4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60" w:line="252" w:lineRule="auto" w:before="0"/>
      <w:contextualSpacing/>
    </w:pPr>
    <w:rPr>
      <w:rFonts w:asciiTheme="majorHAnsi" w:eastAsiaTheme="majorEastAsia" w:hAnsiTheme="majorHAnsi" w:cstheme="majorBidi" w:ascii="Noto Serif TC" w:hAnsi="Noto Serif TC" w:eastAsia="Noto Serif TC" w:cs="Noto Serif TC"/>
      <w:b/>
      <w:color w:val="102C2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360" w:line="288" w:lineRule="auto"/>
    </w:pPr>
    <w:rPr>
      <w:rFonts w:asciiTheme="majorHAnsi" w:eastAsiaTheme="majorEastAsia" w:hAnsiTheme="majorHAnsi" w:cstheme="majorBidi" w:ascii="Noto Sans TC" w:hAnsi="Noto Sans TC" w:eastAsia="Noto Sans TC" w:cs="Noto Sans TC"/>
      <w:b w:val="0"/>
      <w:i/>
      <w:iCs/>
      <w:color w:val="5D6C6D"/>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Kicker">
    <w:name w:val="Toolkit Kicker"/>
    <w:pPr>
      <w:keepNext/>
      <w:pageBreakBefore w:val="0"/>
      <w:spacing w:before="0" w:after="80" w:line="240" w:lineRule="auto"/>
    </w:pPr>
    <w:rPr>
      <w:rFonts w:ascii="Noto Sans TC" w:hAnsi="Noto Sans TC" w:eastAsia="Noto Sans TC" w:cs="Noto Sans TC"/>
      <w:b/>
      <w:color w:val="D8A657"/>
      <w:sz w:val="18"/>
    </w:rPr>
  </w:style>
  <w:style w:type="paragraph" w:customStyle="1" w:styleId="ToolkitLead">
    <w:name w:val="Toolkit Lead"/>
    <w:pPr>
      <w:keepNext w:val="0"/>
      <w:pageBreakBefore w:val="0"/>
      <w:spacing w:before="0" w:after="160" w:line="300" w:lineRule="auto"/>
    </w:pPr>
    <w:rPr>
      <w:rFonts w:ascii="Noto Sans TC" w:hAnsi="Noto Sans TC" w:eastAsia="Noto Sans TC" w:cs="Noto Sans TC"/>
      <w:b w:val="0"/>
      <w:color w:val="172426"/>
      <w:sz w:val="23"/>
    </w:rPr>
  </w:style>
  <w:style w:type="paragraph" w:customStyle="1" w:styleId="ToolkitSmall">
    <w:name w:val="Toolkit Small"/>
    <w:pPr>
      <w:keepNext w:val="0"/>
      <w:pageBreakBefore w:val="0"/>
      <w:spacing w:before="0" w:after="60" w:line="276" w:lineRule="auto"/>
    </w:pPr>
    <w:rPr>
      <w:rFonts w:ascii="Noto Sans TC" w:hAnsi="Noto Sans TC" w:eastAsia="Noto Sans TC" w:cs="Noto Sans TC"/>
      <w:b w:val="0"/>
      <w:color w:val="5D6C6D"/>
      <w:sz w:val="17"/>
    </w:rPr>
  </w:style>
  <w:style w:type="paragraph" w:customStyle="1" w:styleId="ToolkitNote">
    <w:name w:val="Toolkit Note"/>
    <w:pPr>
      <w:keepNext w:val="0"/>
      <w:pageBreakBefore w:val="0"/>
      <w:spacing w:before="60" w:after="160" w:line="288" w:lineRule="auto"/>
    </w:pPr>
    <w:rPr>
      <w:rFonts w:ascii="Noto Sans TC" w:hAnsi="Noto Sans TC" w:eastAsia="Noto Sans TC" w:cs="Noto Sans TC"/>
      <w:b w:val="0"/>
      <w:color w:val="5D6C6D"/>
      <w:sz w:val="18"/>
    </w:rPr>
  </w:style>
  <w:style w:type="paragraph" w:customStyle="1" w:styleId="ToolkitFormLabel">
    <w:name w:val="Toolkit Form Label"/>
    <w:pPr>
      <w:keepNext w:val="0"/>
      <w:pageBreakBefore w:val="0"/>
      <w:spacing w:before="0" w:after="0" w:line="252" w:lineRule="auto"/>
    </w:pPr>
    <w:rPr>
      <w:rFonts w:ascii="Noto Sans TC" w:hAnsi="Noto Sans TC" w:eastAsia="Noto Sans TC" w:cs="Noto Sans TC"/>
      <w:b/>
      <w:color w:val="172426"/>
      <w:sz w:val="17"/>
    </w:rPr>
  </w:style>
  <w:style w:type="paragraph" w:customStyle="1" w:styleId="ToolkitFormEntry">
    <w:name w:val="Toolkit Form Entry"/>
    <w:pPr>
      <w:keepNext w:val="0"/>
      <w:pageBreakBefore w:val="0"/>
      <w:spacing w:before="0" w:after="0" w:line="252" w:lineRule="auto"/>
    </w:pPr>
    <w:rPr>
      <w:rFonts w:ascii="Noto Sans TC" w:hAnsi="Noto Sans TC" w:eastAsia="Noto Sans TC" w:cs="Noto Sans TC"/>
      <w:b w:val="0"/>
      <w:color w:val="738081"/>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日本展與客戶通知</dc:title>
  <dc:subject>Trilingual fillable AI operations toolkit</dc:subject>
  <dc:creator/>
  <cp:keywords>AI toolkit, trilingual, fair-notices</cp:keywords>
  <dc:description>Source: lib/ai-workflows.ts</dc:description>
  <cp:lastModifiedBy/>
  <cp:revision>1</cp:revision>
  <dcterms:created xsi:type="dcterms:W3CDTF">2013-12-23T23:15:00Z</dcterms:created>
  <dcterms:modified xsi:type="dcterms:W3CDTF">2013-12-23T23:15:00Z</dcterms:modified>
  <cp:category/>
</cp:coreProperties>
</file>