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oolkitKicker"/>
      </w:pPr>
      <w:r>
        <w:t>AI 協作工具包 / AI協働ツールキット / AI OPERATIONS TOOLKIT  |  模組 / モジュール / MODULE 05</w:t>
      </w:r>
    </w:p>
    <w:p>
      <w:pPr>
        <w:pStyle w:val="Title"/>
      </w:pPr>
      <w:r>
        <w:t>訂單、庫存與對帳檢查</w:t>
      </w:r>
    </w:p>
    <w:p>
      <w:pPr>
        <w:pStyle w:val="Subtitle"/>
        <w:spacing w:after="60"/>
      </w:pPr>
      <w:r>
        <w:rPr>
          <w:rFonts w:ascii="Noto Sans TC" w:hAnsi="Noto Sans TC" w:eastAsia="Noto Sans TC" w:cs="Noto Sans TC"/>
          <w:b/>
          <w:color w:val="173F42"/>
          <w:sz w:val="26"/>
        </w:rPr>
        <w:t>注文・在庫・精算照合</w:t>
      </w:r>
    </w:p>
    <w:p>
      <w:pPr>
        <w:pStyle w:val="Subtitle"/>
        <w:spacing w:after="320"/>
      </w:pPr>
      <w:r>
        <w:rPr>
          <w:rFonts w:ascii="Noto Sans TC" w:hAnsi="Noto Sans TC" w:eastAsia="Noto Sans TC" w:cs="Noto Sans TC"/>
          <w:b/>
          <w:color w:val="5D6C6D"/>
          <w:sz w:val="25"/>
        </w:rPr>
        <w:t>Order, stock and reconciliation checks</w:t>
      </w:r>
    </w:p>
    <w:p>
      <w:pPr>
        <w:pStyle w:val="ToolkitLead"/>
      </w:pPr>
      <w:r>
        <w:rPr>
          <w:rFonts w:ascii="Noto Sans TC" w:hAnsi="Noto Sans TC" w:eastAsia="Noto Sans TC" w:cs="Noto Sans TC"/>
          <w:b/>
          <w:color w:val="D8A657"/>
          <w:sz w:val="18"/>
        </w:rPr>
        <w:t xml:space="preserve">繁中  </w:t>
      </w:r>
      <w:r>
        <w:rPr>
          <w:rFonts w:ascii="Noto Sans TC" w:hAnsi="Noto Sans TC" w:eastAsia="Noto Sans TC" w:cs="Noto Sans TC"/>
          <w:color w:val="172426"/>
          <w:sz w:val="21"/>
        </w:rPr>
        <w:t>用既有匯出表找出線上、線下、庫存與百貨結算資料的差異。</w:t>
      </w:r>
    </w:p>
    <w:p>
      <w:pPr>
        <w:pStyle w:val="ToolkitLead"/>
      </w:pPr>
      <w:r>
        <w:rPr>
          <w:rFonts w:ascii="Noto Sans TC" w:hAnsi="Noto Sans TC" w:eastAsia="Noto Sans TC" w:cs="Noto Sans TC"/>
          <w:b/>
          <w:color w:val="D8A657"/>
          <w:sz w:val="18"/>
        </w:rPr>
        <w:t xml:space="preserve">日本語  </w:t>
      </w:r>
      <w:r>
        <w:rPr>
          <w:rFonts w:ascii="Noto Sans TC" w:hAnsi="Noto Sans TC" w:eastAsia="Noto Sans TC" w:cs="Noto Sans TC"/>
          <w:color w:val="172426"/>
          <w:sz w:val="21"/>
        </w:rPr>
        <w:t>既存の出力表から受注、在庫、店頭、百貨店精算の差異を確認します。</w:t>
      </w:r>
    </w:p>
    <w:p>
      <w:pPr>
        <w:pStyle w:val="ToolkitLead"/>
      </w:pPr>
      <w:r>
        <w:rPr>
          <w:rFonts w:ascii="Noto Sans TC" w:hAnsi="Noto Sans TC" w:eastAsia="Noto Sans TC" w:cs="Noto Sans TC"/>
          <w:b/>
          <w:color w:val="D8A657"/>
          <w:sz w:val="18"/>
        </w:rPr>
        <w:t xml:space="preserve">EN  </w:t>
      </w:r>
      <w:r>
        <w:rPr>
          <w:rFonts w:ascii="Noto Sans TC" w:hAnsi="Noto Sans TC" w:eastAsia="Noto Sans TC" w:cs="Noto Sans TC"/>
          <w:color w:val="172426"/>
          <w:sz w:val="21"/>
        </w:rPr>
        <w:t>Use existing exports to find differences across online orders, offline sales, inventory and department-store settlements.</w:t>
      </w:r>
    </w:p>
    <w:p>
      <w:pPr>
        <w:pStyle w:val="Heading2"/>
      </w:pPr>
      <w:r>
        <w:t>文件控制 / 文書管理 / Document control</w:t>
      </w:r>
    </w:p>
    <w:tbl>
      <w:tblPr>
        <w:tblW w:type="dxa" w:w="9360"/>
        <w:tblLayout w:type="fixed"/>
        <w:tblLook w:firstColumn="1" w:firstRow="1" w:lastColumn="0" w:lastRow="0" w:noHBand="0" w:noVBand="1" w:val="04A0"/>
        <w:jc w:val="left"/>
        <w:tblInd w:type="dxa" w:w="120"/>
      </w:tblPr>
      <w:tblGrid>
        <w:gridCol w:w="1600"/>
        <w:gridCol w:w="2000"/>
        <w:gridCol w:w="2880"/>
        <w:gridCol w:w="2880"/>
      </w:tblGrid>
      <w:tr>
        <w:trPr>
          <w:tblHeader w:val="true"/>
          <w:cantSplit/>
        </w:trPr>
        <w:tc>
          <w:tcPr>
            <w:tcW w:type="dxa" w:w="16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版本 / 版 / Version</w:t>
            </w:r>
          </w:p>
        </w:tc>
        <w:tc>
          <w:tcPr>
            <w:tcW w:type="dxa" w:w="20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r>
      <w:tr>
        <w:trPr>
          <w:cantSplit/>
        </w:trPr>
        <w:tc>
          <w:tcPr>
            <w:tcW w:type="dxa" w:w="16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1.0.0</w:t>
            </w:r>
          </w:p>
        </w:tc>
        <w:tc>
          <w:tcPr>
            <w:tcW w:type="dxa" w:w="20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2026-08-21</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r>
    </w:tbl>
    <w:p>
      <w:pPr>
        <w:pStyle w:val="ToolkitNote"/>
        <w:spacing w:before="140"/>
      </w:pPr>
      <w:r>
        <w:t xml:space="preserve">狀態 / 状態 / Status:  </w:t>
      </w:r>
      <w:r>
        <w:rPr>
          <w:rFonts w:ascii="Noto Sans TC" w:hAnsi="Noto Sans TC" w:eastAsia="Noto Sans TC" w:cs="Noto Sans TC"/>
          <w:b/>
          <w:color w:val="172426"/>
          <w:sz w:val="19"/>
        </w:rPr>
        <w:t>☐ 草稿 / 下書き / Draft</w:t>
      </w:r>
      <w:r>
        <w:t xml:space="preserve">      </w:t>
      </w:r>
      <w:r>
        <w:rPr>
          <w:rFonts w:ascii="Noto Sans TC" w:hAnsi="Noto Sans TC" w:eastAsia="Noto Sans TC" w:cs="Noto Sans TC"/>
          <w:b/>
          <w:color w:val="172426"/>
          <w:sz w:val="19"/>
        </w:rPr>
        <w:t>☐ 審閱中 / 確認中 / In review</w:t>
      </w:r>
      <w:r>
        <w:t xml:space="preserve">      </w:t>
      </w:r>
      <w:r>
        <w:rPr>
          <w:rFonts w:ascii="Noto Sans TC" w:hAnsi="Noto Sans TC" w:eastAsia="Noto Sans TC" w:cs="Noto Sans TC"/>
          <w:b/>
          <w:color w:val="172426"/>
          <w:sz w:val="19"/>
        </w:rPr>
        <w:t>☐ 已核准 / 承認済み / Approved</w:t>
      </w:r>
    </w:p>
    <w:p>
      <w:pPr>
        <w:pStyle w:val="Heading2"/>
      </w:pPr>
      <w:r>
        <w:t>使用說明 / 使用方法 / How to use</w:t>
      </w:r>
    </w:p>
    <w:p>
      <w:pPr>
        <w:pStyle w:val="ToolkitNote"/>
      </w:pPr>
      <w:r>
        <w:rPr>
          <w:rFonts w:ascii="Noto Sans TC" w:hAnsi="Noto Sans TC" w:eastAsia="Noto Sans TC" w:cs="Noto Sans TC"/>
          <w:b/>
          <w:color w:val="173F42"/>
          <w:sz w:val="18"/>
        </w:rPr>
        <w:t xml:space="preserve">繁體中文: </w:t>
      </w:r>
      <w:r>
        <w:rPr>
          <w:rFonts w:ascii="Noto Sans TC" w:hAnsi="Noto Sans TC" w:eastAsia="Noto Sans TC" w:cs="Noto Sans TC"/>
          <w:color w:val="172426"/>
          <w:sz w:val="18"/>
        </w:rPr>
        <w:t>依頁面順序填寫，保留正式來源、版本、責任人與核准人。草稿、名單、數字、日期及對外內容，須在發布、寄送或執行前由獲授權人員覆核。</w:t>
      </w:r>
    </w:p>
    <w:p>
      <w:pPr>
        <w:pStyle w:val="ToolkitNote"/>
      </w:pPr>
      <w:r>
        <w:rPr>
          <w:rFonts w:ascii="Noto Sans TC" w:hAnsi="Noto Sans TC" w:eastAsia="Noto Sans TC" w:cs="Noto Sans TC"/>
          <w:b/>
          <w:color w:val="173F42"/>
          <w:sz w:val="18"/>
        </w:rPr>
        <w:t xml:space="preserve">日本語: </w:t>
      </w:r>
      <w:r>
        <w:rPr>
          <w:rFonts w:ascii="Noto Sans TC" w:hAnsi="Noto Sans TC" w:eastAsia="Noto Sans TC" w:cs="Noto Sans TC"/>
          <w:color w:val="172426"/>
          <w:sz w:val="18"/>
        </w:rPr>
        <w:t>ページ順に記入し、正式な情報源、版、担当者、承認者を残してください。原稿、名簿、数値、日付、対外内容は、公開・送信・実行前に権限を持つ担当者が確認します。</w:t>
      </w:r>
    </w:p>
    <w:p>
      <w:pPr>
        <w:pStyle w:val="ToolkitNote"/>
      </w:pPr>
      <w:r>
        <w:rPr>
          <w:rFonts w:ascii="Noto Sans TC" w:hAnsi="Noto Sans TC" w:eastAsia="Noto Sans TC" w:cs="Noto Sans TC"/>
          <w:b/>
          <w:color w:val="173F42"/>
          <w:sz w:val="18"/>
        </w:rPr>
        <w:t xml:space="preserve">English: </w:t>
      </w:r>
      <w:r>
        <w:rPr>
          <w:rFonts w:ascii="Noto Sans TC" w:hAnsi="Noto Sans TC" w:eastAsia="Noto Sans TC" w:cs="Noto Sans TC"/>
          <w:color w:val="172426"/>
          <w:sz w:val="18"/>
        </w:rPr>
        <w:t>Complete the pages in order and retain the official source, version, responsible person and approver. Authorised staff must review drafts, lists, figures, dates and external content before release, sending or action.</w:t>
      </w:r>
    </w:p>
    <w:p>
      <w:r>
        <w:br w:type="page"/>
      </w:r>
    </w:p>
    <w:p>
      <w:pPr>
        <w:pStyle w:val="ToolkitKicker"/>
      </w:pPr>
      <w:r>
        <w:t>AI 協作工具包 / AI協働ツールキット / AI OPERATIONS TOOLKIT</w:t>
      </w:r>
    </w:p>
    <w:p>
      <w:pPr>
        <w:pStyle w:val="Heading1"/>
      </w:pPr>
      <w:r>
        <w:t>模組概覽 / モジュール概要 / Module overview</w:t>
      </w:r>
    </w:p>
    <w:p>
      <w:pPr>
        <w:pStyle w:val="Heading2"/>
      </w:pPr>
      <w:r>
        <w:t>適用情境 / 適用場面 / Best for</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適合多個渠道分開匯出，需要定期找出數量、狀態、重複、缺漏或結算差異。</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複数チャネルの出力から数量、状態、重複、不足、精算差異を定期確認する場合に適しています。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Recurring quantity, status, duplicate, missing or settlement differences across separately exported channels.</w:t>
      </w:r>
    </w:p>
    <w:p>
      <w:pPr>
        <w:pStyle w:val="Heading2"/>
      </w:pPr>
      <w:r>
        <w:t>預期交付 / 想定成果 / Expected outcome</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先產出不改動來源資料的差異報表，再由財務或營運人員逐項處理。</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元データを変更せず差異表を作り、経理・運用担当が処理します。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Produce a non-destructive difference report for finance or operations staff to resolve.</w:t>
      </w:r>
    </w:p>
    <w:p>
      <w:pPr>
        <w:pStyle w:val="Heading2"/>
      </w:pPr>
      <w:r>
        <w:t>開始前需準備 / 開始前に必要 / Inputs required</w:t>
      </w:r>
    </w:p>
    <w:tbl>
      <w:tblPr>
        <w:tblW w:type="dxa" w:w="9360"/>
        <w:tblLayout w:type="fixed"/>
        <w:tblLook w:firstColumn="1" w:firstRow="1" w:lastColumn="0" w:lastRow="0" w:noHBand="0" w:noVBand="1" w:val="04A0"/>
        <w:jc w:val="left"/>
        <w:tblInd w:type="dxa" w:w="120"/>
      </w:tblPr>
      <w:tblGrid>
        <w:gridCol w:w="620"/>
        <w:gridCol w:w="2910"/>
        <w:gridCol w:w="2910"/>
        <w:gridCol w:w="2920"/>
      </w:tblGrid>
      <w:tr>
        <w:trPr>
          <w:tblHeader w:val="true"/>
          <w:cantSplit/>
        </w:trPr>
        <w:tc>
          <w:tcPr>
            <w:tcW w:type="dxa" w:w="6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9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1</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訂單編號、商品代碼、數量與狀態</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注文番号、商品コード、数量、状態</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Order ID, product code, quantity and status</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2</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指定時間點的庫存快照</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在庫スナップショット</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Inventory snapshot</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3</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銷售、退貨或百貨對帳匯出表</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売上、返品、百貨店精算出力</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Sales, return or department-store settlement export</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4</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統計期間、欄位定義與現行人工判斷規則；不需付款卡號</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期間、項目定義、判断ルール（カード番号不要）</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Period, field definitions and current rules; no payment-card number</w:t>
            </w:r>
          </w:p>
        </w:tc>
      </w:tr>
    </w:tbl>
    <w:p>
      <w:r>
        <w:br w:type="page"/>
      </w:r>
    </w:p>
    <w:p>
      <w:pPr>
        <w:pStyle w:val="ToolkitKicker"/>
      </w:pPr>
      <w:r>
        <w:t>AI 協作工具包 / AI協働ツールキット / AI OPERATIONS TOOLKIT</w:t>
      </w:r>
    </w:p>
    <w:p>
      <w:pPr>
        <w:pStyle w:val="Heading1"/>
      </w:pPr>
      <w:r>
        <w:t>人工覆核界線 / 人による確認範囲 / Human review boundaries</w:t>
      </w:r>
    </w:p>
    <w:p>
      <w:pPr>
        <w:pStyle w:val="Heading2"/>
      </w:pPr>
      <w:r>
        <w:t>人工覆核界線 / 人による確認範囲 / Human review boundaries</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第一次導入只產出差異，不寫回來源系統</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初回は差異報告のみで元システムへ書き込まない</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The first cycle reports differences and does not write to source systems</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付款卡號、密碼與不必要個資不應提供</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カード番号、パスワード、不要な個人情報を提供しない</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Do not provide card numbers, passwords or unnecessary personal data</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退款、調整、付款、結算與會計入帳必須由授權人員確認</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返金、調整、精算、会計処理は権限者が確認</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Refunds, adjustments, settlement and accounting require authorised approval</w:t>
      </w:r>
    </w:p>
    <w:p>
      <w:pPr>
        <w:pStyle w:val="Heading2"/>
      </w:pPr>
      <w:r>
        <w:t>範圍聲明 / 範囲説明 / Scope statement</w:t>
      </w:r>
    </w:p>
    <w:p>
      <w:pPr>
        <w:pStyle w:val="ToolkitNote"/>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17"/>
        </w:rPr>
        <w:t>以上為可評估、可逐步導入的工作方式，不代表目前網站已連接客戶、訂單、庫存、財務、LINE 或 Email 系統。實際資料存取、發送、自動化、頻率、保存期限、費用與責任，以測試結果及書面合作範圍為準。</w:t>
      </w:r>
    </w:p>
    <w:p>
      <w:pPr>
        <w:pStyle w:val="ToolkitNote"/>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17"/>
        </w:rPr>
        <w:t>上記は評価・段階導入が可能な業務案であり、現在のサイトが顧客、受注、在庫、会計、LINE、メール各システムと接続済みであることを示しません。アクセス、送信、自動化、頻度、保存期間、費用、責任はテスト結果と書面合意に基づきます。</w:t>
      </w:r>
    </w:p>
    <w:p>
      <w:pPr>
        <w:pStyle w:val="ToolkitNote"/>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17"/>
        </w:rPr>
        <w:t>These are workflows available for assessment and phased introduction. They do not imply that the current website is connected to customer, order, inventory, finance, LINE or email systems. Data access, sending, automation, cadence, retention, fees and responsibility remain subject to testing and written scope.</w:t>
      </w:r>
    </w:p>
    <w:p>
      <w:pPr>
        <w:pStyle w:val="Heading2"/>
      </w:pPr>
      <w:r>
        <w:t>權限確認 / 権限確認 / Access confirmation</w:t>
      </w:r>
    </w:p>
    <w:tbl>
      <w:tblPr>
        <w:tblW w:type="dxa" w:w="9360"/>
        <w:tblLayout w:type="fixed"/>
        <w:tblLook w:firstColumn="1" w:firstRow="1" w:lastColumn="0" w:lastRow="0" w:noHBand="0" w:noVBand="1" w:val="04A0"/>
        <w:jc w:val="left"/>
        <w:tblInd w:type="dxa" w:w="120"/>
      </w:tblPr>
      <w:tblGrid>
        <w:gridCol w:w="2340"/>
        <w:gridCol w:w="2340"/>
        <w:gridCol w:w="1800"/>
        <w:gridCol w:w="2880"/>
      </w:tblGrid>
      <w:tr>
        <w:trPr>
          <w:tblHeader w:val="true"/>
          <w:cantSplit/>
        </w:trPr>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c>
          <w:tcPr>
            <w:tcW w:type="dxa" w:w="18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18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88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r>
    </w:tbl>
    <w:p>
      <w:r>
        <w:br w:type="page"/>
      </w:r>
    </w:p>
    <w:p>
      <w:pPr>
        <w:pStyle w:val="ToolkitKicker"/>
      </w:pPr>
      <w:r>
        <w:t>AI 協作工具包 / AI協働ツールキット / AI OPERATIONS TOOLKIT</w:t>
      </w:r>
    </w:p>
    <w:p>
      <w:pPr>
        <w:pStyle w:val="Heading1"/>
      </w:pPr>
      <w:r>
        <w:t>導入程序 / 導入手順 / Implementation process</w:t>
      </w:r>
    </w:p>
    <w:tbl>
      <w:tblPr>
        <w:tblW w:type="dxa" w:w="9360"/>
        <w:tblLayout w:type="fixed"/>
        <w:tblLook w:firstColumn="1" w:firstRow="1" w:lastColumn="0" w:lastRow="0" w:noHBand="0" w:noVBand="1" w:val="04A0"/>
        <w:jc w:val="left"/>
        <w:tblInd w:type="dxa" w:w="120"/>
      </w:tblPr>
      <w:tblGrid>
        <w:gridCol w:w="900"/>
        <w:gridCol w:w="2820"/>
        <w:gridCol w:w="2820"/>
        <w:gridCol w:w="2820"/>
      </w:tblGrid>
      <w:tr>
        <w:trPr>
          <w:tblHeader w:val="true"/>
          <w:cantSplit/>
        </w:trPr>
        <w:tc>
          <w:tcPr>
            <w:tcW w:type="dxa" w:w="9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步驟 #</w:t>
            </w:r>
            <w:r>
              <w:br/>
            </w:r>
            <w:r>
              <w:rPr>
                <w:rFonts w:ascii="Noto Sans TC" w:hAnsi="Noto Sans TC" w:eastAsia="Noto Sans TC" w:cs="Noto Sans TC"/>
                <w:b/>
                <w:color w:val="FFFFFF"/>
                <w:sz w:val="17"/>
              </w:rPr>
              <w:t>工程番号</w:t>
            </w:r>
            <w:r>
              <w:br/>
            </w:r>
            <w:r>
              <w:rPr>
                <w:rFonts w:ascii="Noto Sans TC" w:hAnsi="Noto Sans TC" w:eastAsia="Noto Sans TC" w:cs="Noto Sans TC"/>
                <w:b/>
                <w:color w:val="FFFFFF"/>
                <w:sz w:val="17"/>
              </w:rPr>
              <w:t>Step #</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01</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選定一個核對期間</w:t>
            </w:r>
          </w:p>
          <w:p>
            <w:pPr>
              <w:spacing w:after="40" w:line="254" w:lineRule="auto"/>
            </w:pPr>
            <w:r>
              <w:rPr>
                <w:rFonts w:ascii="Noto Sans TC" w:hAnsi="Noto Sans TC" w:eastAsia="Noto Sans TC" w:cs="Noto Sans TC"/>
                <w:color w:val="172426"/>
                <w:sz w:val="15"/>
              </w:rPr>
              <w:t>從單一活動、門市或月份開始，確認要比較的來源檔案。</w:t>
            </w:r>
          </w:p>
          <w:p>
            <w:pPr>
              <w:spacing w:after="0" w:line="240" w:lineRule="auto"/>
            </w:pPr>
            <w:r>
              <w:rPr>
                <w:rFonts w:ascii="Noto Sans TC" w:hAnsi="Noto Sans TC" w:eastAsia="Noto Sans TC" w:cs="Noto Sans TC"/>
                <w:color w:val="5D6C6D"/>
                <w:sz w:val="14"/>
              </w:rPr>
              <w:t>營運／財務  |  核對範圍與來源清單</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対象期間を選ぶ</w:t>
            </w:r>
          </w:p>
          <w:p>
            <w:pPr>
              <w:spacing w:after="40" w:line="254" w:lineRule="auto"/>
            </w:pPr>
            <w:r>
              <w:rPr>
                <w:rFonts w:ascii="Noto Sans TC" w:hAnsi="Noto Sans TC" w:eastAsia="Noto Sans TC" w:cs="Noto Sans TC"/>
                <w:color w:val="172426"/>
                <w:sz w:val="15"/>
              </w:rPr>
              <w:t>正式な情報源と対象範囲を確認します。</w:t>
            </w:r>
          </w:p>
          <w:p>
            <w:pPr>
              <w:spacing w:after="0" w:line="240" w:lineRule="auto"/>
            </w:pPr>
            <w:r>
              <w:rPr>
                <w:rFonts w:ascii="Noto Sans TC" w:hAnsi="Noto Sans TC" w:eastAsia="Noto Sans TC" w:cs="Noto Sans TC"/>
                <w:color w:val="5D6C6D"/>
                <w:sz w:val="14"/>
              </w:rPr>
              <w:t>業務担当者  |  対象と情報源一覧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Choose one review period</w:t>
            </w:r>
          </w:p>
          <w:p>
            <w:pPr>
              <w:spacing w:after="40" w:line="254" w:lineRule="auto"/>
            </w:pPr>
            <w:r>
              <w:rPr>
                <w:rFonts w:ascii="Noto Sans TC" w:hAnsi="Noto Sans TC" w:eastAsia="Noto Sans TC" w:cs="Noto Sans TC"/>
                <w:color w:val="172426"/>
                <w:sz w:val="15"/>
              </w:rPr>
              <w:t>Confirm the official source and bounded scope.</w:t>
            </w:r>
          </w:p>
          <w:p>
            <w:pPr>
              <w:spacing w:after="0" w:line="240" w:lineRule="auto"/>
            </w:pPr>
            <w:r>
              <w:rPr>
                <w:rFonts w:ascii="Noto Sans TC" w:hAnsi="Noto Sans TC" w:eastAsia="Noto Sans TC" w:cs="Noto Sans TC"/>
                <w:color w:val="5D6C6D"/>
                <w:sz w:val="14"/>
              </w:rPr>
              <w:t>Business owner  |  Scope and source list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02</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建立欄位對照</w:t>
            </w:r>
          </w:p>
          <w:p>
            <w:pPr>
              <w:spacing w:after="40" w:line="254" w:lineRule="auto"/>
            </w:pPr>
            <w:r>
              <w:rPr>
                <w:rFonts w:ascii="Noto Sans TC" w:hAnsi="Noto Sans TC" w:eastAsia="Noto Sans TC" w:cs="Noto Sans TC"/>
                <w:color w:val="172426"/>
                <w:sz w:val="15"/>
              </w:rPr>
              <w:t>確認每個檔案中的訂單、商品、數量、狀態與金額欄位如何對應。</w:t>
            </w:r>
          </w:p>
          <w:p>
            <w:pPr>
              <w:spacing w:after="0" w:line="240" w:lineRule="auto"/>
            </w:pPr>
            <w:r>
              <w:rPr>
                <w:rFonts w:ascii="Noto Sans TC" w:hAnsi="Noto Sans TC" w:eastAsia="Noto Sans TC" w:cs="Noto Sans TC"/>
                <w:color w:val="5D6C6D"/>
                <w:sz w:val="14"/>
              </w:rPr>
              <w:t>資料提供人＋財務  |  欄位映射與比對主鍵</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項目対応を作る</w:t>
            </w:r>
          </w:p>
          <w:p>
            <w:pPr>
              <w:spacing w:after="40" w:line="254" w:lineRule="auto"/>
            </w:pPr>
            <w:r>
              <w:rPr>
                <w:rFonts w:ascii="Noto Sans TC" w:hAnsi="Noto Sans TC" w:eastAsia="Noto Sans TC" w:cs="Noto Sans TC"/>
                <w:color w:val="172426"/>
                <w:sz w:val="15"/>
              </w:rPr>
              <w:t>必要項目、状態、権限、承認条件を定義します。</w:t>
            </w:r>
          </w:p>
          <w:p>
            <w:pPr>
              <w:spacing w:after="0" w:line="240" w:lineRule="auto"/>
            </w:pPr>
            <w:r>
              <w:rPr>
                <w:rFonts w:ascii="Noto Sans TC" w:hAnsi="Noto Sans TC" w:eastAsia="Noto Sans TC" w:cs="Noto Sans TC"/>
                <w:color w:val="5D6C6D"/>
                <w:sz w:val="14"/>
              </w:rPr>
              <w:t>業務＋承認担当  |  項目・権限・承認ルール</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Map the fields</w:t>
            </w:r>
          </w:p>
          <w:p>
            <w:pPr>
              <w:spacing w:after="40" w:line="254" w:lineRule="auto"/>
            </w:pPr>
            <w:r>
              <w:rPr>
                <w:rFonts w:ascii="Noto Sans TC" w:hAnsi="Noto Sans TC" w:eastAsia="Noto Sans TC" w:cs="Noto Sans TC"/>
                <w:color w:val="172426"/>
                <w:sz w:val="15"/>
              </w:rPr>
              <w:t>Define required fields, status, access and approval conditions.</w:t>
            </w:r>
          </w:p>
          <w:p>
            <w:pPr>
              <w:spacing w:after="0" w:line="240" w:lineRule="auto"/>
            </w:pPr>
            <w:r>
              <w:rPr>
                <w:rFonts w:ascii="Noto Sans TC" w:hAnsi="Noto Sans TC" w:eastAsia="Noto Sans TC" w:cs="Noto Sans TC"/>
                <w:color w:val="5D6C6D"/>
                <w:sz w:val="14"/>
              </w:rPr>
              <w:t>Business and approval owners  |  Field, access and approval rules</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03</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以去識別化資料試跑</w:t>
            </w:r>
          </w:p>
          <w:p>
            <w:pPr>
              <w:spacing w:after="40" w:line="254" w:lineRule="auto"/>
            </w:pPr>
            <w:r>
              <w:rPr>
                <w:rFonts w:ascii="Noto Sans TC" w:hAnsi="Noto Sans TC" w:eastAsia="Noto Sans TC" w:cs="Noto Sans TC"/>
                <w:color w:val="172426"/>
                <w:sz w:val="15"/>
              </w:rPr>
              <w:t>只讀取測試資料並產出差異，不直接修改訂單、庫存或帳務來源。</w:t>
            </w:r>
          </w:p>
          <w:p>
            <w:pPr>
              <w:spacing w:after="0" w:line="240" w:lineRule="auto"/>
            </w:pPr>
            <w:r>
              <w:rPr>
                <w:rFonts w:ascii="Noto Sans TC" w:hAnsi="Noto Sans TC" w:eastAsia="Noto Sans TC" w:cs="Noto Sans TC"/>
                <w:color w:val="5D6C6D"/>
                <w:sz w:val="14"/>
              </w:rPr>
              <w:t>AI 比對／人員監督  |  第一次差異報告</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匿名化データで試す</w:t>
            </w:r>
          </w:p>
          <w:p>
            <w:pPr>
              <w:spacing w:after="40" w:line="254" w:lineRule="auto"/>
            </w:pPr>
            <w:r>
              <w:rPr>
                <w:rFonts w:ascii="Noto Sans TC" w:hAnsi="Noto Sans TC" w:eastAsia="Noto Sans TC" w:cs="Noto Sans TC"/>
                <w:color w:val="172426"/>
                <w:sz w:val="15"/>
              </w:rPr>
              <w:t>匿名化した実データで一度テストし、差分と不足を確認します。</w:t>
            </w:r>
          </w:p>
          <w:p>
            <w:pPr>
              <w:spacing w:after="0" w:line="240" w:lineRule="auto"/>
            </w:pPr>
            <w:r>
              <w:rPr>
                <w:rFonts w:ascii="Noto Sans TC" w:hAnsi="Noto Sans TC" w:eastAsia="Noto Sans TC" w:cs="Noto Sans TC"/>
                <w:color w:val="5D6C6D"/>
                <w:sz w:val="14"/>
              </w:rPr>
              <w:t>AI整理／担当者確認  |  初回差分・不足一覧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Test de-identified data</w:t>
            </w:r>
          </w:p>
          <w:p>
            <w:pPr>
              <w:spacing w:after="40" w:line="254" w:lineRule="auto"/>
            </w:pPr>
            <w:r>
              <w:rPr>
                <w:rFonts w:ascii="Noto Sans TC" w:hAnsi="Noto Sans TC" w:eastAsia="Noto Sans TC" w:cs="Noto Sans TC"/>
                <w:color w:val="172426"/>
                <w:sz w:val="15"/>
              </w:rPr>
              <w:t>Run one test with de-identified real data and review differences and gaps.</w:t>
            </w:r>
          </w:p>
          <w:p>
            <w:pPr>
              <w:spacing w:after="0" w:line="240" w:lineRule="auto"/>
            </w:pPr>
            <w:r>
              <w:rPr>
                <w:rFonts w:ascii="Noto Sans TC" w:hAnsi="Noto Sans TC" w:eastAsia="Noto Sans TC" w:cs="Noto Sans TC"/>
                <w:color w:val="5D6C6D"/>
                <w:sz w:val="14"/>
              </w:rPr>
              <w:t>AI preparation / human review  |  First difference and gap report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04</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分類差異原因</w:t>
            </w:r>
          </w:p>
          <w:p>
            <w:pPr>
              <w:spacing w:after="40" w:line="254" w:lineRule="auto"/>
            </w:pPr>
            <w:r>
              <w:rPr>
                <w:rFonts w:ascii="Noto Sans TC" w:hAnsi="Noto Sans TC" w:eastAsia="Noto Sans TC" w:cs="Noto Sans TC"/>
                <w:color w:val="172426"/>
                <w:sz w:val="15"/>
              </w:rPr>
              <w:t>把重複、缺漏、時間差、退貨、人工調整與未知原因分開。</w:t>
            </w:r>
          </w:p>
          <w:p>
            <w:pPr>
              <w:spacing w:after="0" w:line="240" w:lineRule="auto"/>
            </w:pPr>
            <w:r>
              <w:rPr>
                <w:rFonts w:ascii="Noto Sans TC" w:hAnsi="Noto Sans TC" w:eastAsia="Noto Sans TC" w:cs="Noto Sans TC"/>
                <w:color w:val="5D6C6D"/>
                <w:sz w:val="14"/>
              </w:rPr>
              <w:t>營運＋財務  |  差異原因與待查清單</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差異原因を分類</w:t>
            </w:r>
          </w:p>
          <w:p>
            <w:pPr>
              <w:spacing w:after="40" w:line="254" w:lineRule="auto"/>
            </w:pPr>
            <w:r>
              <w:rPr>
                <w:rFonts w:ascii="Noto Sans TC" w:hAnsi="Noto Sans TC" w:eastAsia="Noto Sans TC" w:cs="Noto Sans TC"/>
                <w:color w:val="172426"/>
                <w:sz w:val="15"/>
              </w:rPr>
              <w:t>AIが原稿または一覧を作り、担当者が事実とリスクを確認します。</w:t>
            </w:r>
          </w:p>
          <w:p>
            <w:pPr>
              <w:spacing w:after="0" w:line="240" w:lineRule="auto"/>
            </w:pPr>
            <w:r>
              <w:rPr>
                <w:rFonts w:ascii="Noto Sans TC" w:hAnsi="Noto Sans TC" w:eastAsia="Noto Sans TC" w:cs="Noto Sans TC"/>
                <w:color w:val="5D6C6D"/>
                <w:sz w:val="14"/>
              </w:rPr>
              <w:t>AI作成／担当者承認  |  承認前成果物</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Classify variance causes</w:t>
            </w:r>
          </w:p>
          <w:p>
            <w:pPr>
              <w:spacing w:after="40" w:line="254" w:lineRule="auto"/>
            </w:pPr>
            <w:r>
              <w:rPr>
                <w:rFonts w:ascii="Noto Sans TC" w:hAnsi="Noto Sans TC" w:eastAsia="Noto Sans TC" w:cs="Noto Sans TC"/>
                <w:color w:val="172426"/>
                <w:sz w:val="15"/>
              </w:rPr>
              <w:t>AI prepares the draft or report; authorised staff review facts and risks.</w:t>
            </w:r>
          </w:p>
          <w:p>
            <w:pPr>
              <w:spacing w:after="0" w:line="240" w:lineRule="auto"/>
            </w:pPr>
            <w:r>
              <w:rPr>
                <w:rFonts w:ascii="Noto Sans TC" w:hAnsi="Noto Sans TC" w:eastAsia="Noto Sans TC" w:cs="Noto Sans TC"/>
                <w:color w:val="5D6C6D"/>
                <w:sz w:val="14"/>
              </w:rPr>
              <w:t>AI draft / staff approval  |  Pre-approval deliverable</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05</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核准調整與留痕</w:t>
            </w:r>
          </w:p>
          <w:p>
            <w:pPr>
              <w:spacing w:after="40" w:line="254" w:lineRule="auto"/>
            </w:pPr>
            <w:r>
              <w:rPr>
                <w:rFonts w:ascii="Noto Sans TC" w:hAnsi="Noto Sans TC" w:eastAsia="Noto Sans TC" w:cs="Noto Sans TC"/>
                <w:color w:val="172426"/>
                <w:sz w:val="15"/>
              </w:rPr>
              <w:t>任何退款、調整、結算與入帳均由授權人員處理並保留依據。</w:t>
            </w:r>
          </w:p>
          <w:p>
            <w:pPr>
              <w:spacing w:after="0" w:line="240" w:lineRule="auto"/>
            </w:pPr>
            <w:r>
              <w:rPr>
                <w:rFonts w:ascii="Noto Sans TC" w:hAnsi="Noto Sans TC" w:eastAsia="Noto Sans TC" w:cs="Noto Sans TC"/>
                <w:color w:val="5D6C6D"/>
                <w:sz w:val="14"/>
              </w:rPr>
              <w:t>財務／授權人員  |  處理與核准記錄</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調整を承認・記録</w:t>
            </w:r>
          </w:p>
          <w:p>
            <w:pPr>
              <w:spacing w:after="40" w:line="254" w:lineRule="auto"/>
            </w:pPr>
            <w:r>
              <w:rPr>
                <w:rFonts w:ascii="Noto Sans TC" w:hAnsi="Noto Sans TC" w:eastAsia="Noto Sans TC" w:cs="Noto Sans TC"/>
                <w:color w:val="172426"/>
                <w:sz w:val="15"/>
              </w:rPr>
              <w:t>承認結果、版、担当者、次回確認日を記録します。</w:t>
            </w:r>
          </w:p>
          <w:p>
            <w:pPr>
              <w:spacing w:after="0" w:line="240" w:lineRule="auto"/>
            </w:pPr>
            <w:r>
              <w:rPr>
                <w:rFonts w:ascii="Noto Sans TC" w:hAnsi="Noto Sans TC" w:eastAsia="Noto Sans TC" w:cs="Noto Sans TC"/>
                <w:color w:val="5D6C6D"/>
                <w:sz w:val="14"/>
              </w:rPr>
              <w:t>権限を持つ担当者  |  版・承認・次回確認記録</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Approve and record adjustments</w:t>
            </w:r>
          </w:p>
          <w:p>
            <w:pPr>
              <w:spacing w:after="40" w:line="254" w:lineRule="auto"/>
            </w:pPr>
            <w:r>
              <w:rPr>
                <w:rFonts w:ascii="Noto Sans TC" w:hAnsi="Noto Sans TC" w:eastAsia="Noto Sans TC" w:cs="Noto Sans TC"/>
                <w:color w:val="172426"/>
                <w:sz w:val="15"/>
              </w:rPr>
              <w:t>Record approval, version, owner and the next review date.</w:t>
            </w:r>
          </w:p>
          <w:p>
            <w:pPr>
              <w:spacing w:after="0" w:line="240" w:lineRule="auto"/>
            </w:pPr>
            <w:r>
              <w:rPr>
                <w:rFonts w:ascii="Noto Sans TC" w:hAnsi="Noto Sans TC" w:eastAsia="Noto Sans TC" w:cs="Noto Sans TC"/>
                <w:color w:val="5D6C6D"/>
                <w:sz w:val="14"/>
              </w:rPr>
              <w:t>Authorised staff  |  Version, approval and next-review record</w:t>
            </w:r>
          </w:p>
        </w:tc>
      </w:tr>
    </w:tbl>
    <w:p>
      <w:pPr>
        <w:pStyle w:val="ToolkitKicker"/>
        <w:pageBreakBefore/>
      </w:pPr>
      <w:r>
        <w:t>可填寫範本 / 記入用テンプレート / FILLABLE TEMPLATE  05.1</w:t>
      </w:r>
    </w:p>
    <w:p>
      <w:pPr>
        <w:pStyle w:val="Heading1"/>
        <w:spacing w:before="0"/>
      </w:pPr>
      <w:r>
        <w:t>資料欄位對照表</w:t>
      </w:r>
    </w:p>
    <w:p>
      <w:pPr>
        <w:pStyle w:val="ToolkitLead"/>
      </w:pPr>
      <w:r>
        <w:rPr>
          <w:rFonts w:ascii="Noto Sans TC" w:hAnsi="Noto Sans TC" w:eastAsia="Noto Sans TC" w:cs="Noto Sans TC"/>
          <w:b/>
          <w:color w:val="173F42"/>
          <w:sz w:val="21"/>
        </w:rPr>
        <w:t>データ項目対応表</w:t>
      </w:r>
      <w:r>
        <w:br/>
      </w:r>
      <w:r>
        <w:rPr>
          <w:rFonts w:ascii="Noto Sans TC" w:hAnsi="Noto Sans TC" w:eastAsia="Noto Sans TC" w:cs="Noto Sans TC"/>
          <w:b/>
          <w:color w:val="5D6C6D"/>
          <w:sz w:val="20"/>
        </w:rPr>
        <w:t>Data field mapping</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把不同系統的欄位對到同一個比對基準。</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異なるシステムの項目を統一。</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Align fields from different systems.</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資料來源與檔名</w:t>
            </w:r>
            <w:r>
              <w:br/>
            </w:r>
            <w:r>
              <w:rPr>
                <w:rFonts w:ascii="Noto Sans TC" w:hAnsi="Noto Sans TC" w:eastAsia="Noto Sans TC" w:cs="Noto Sans TC"/>
                <w:b w:val="0"/>
                <w:color w:val="172426"/>
                <w:sz w:val="16"/>
              </w:rPr>
              <w:t>情報源・ファイル</w:t>
            </w:r>
            <w:r>
              <w:br/>
            </w:r>
            <w:r>
              <w:rPr>
                <w:rFonts w:ascii="Noto Sans TC" w:hAnsi="Noto Sans TC" w:eastAsia="Noto Sans TC" w:cs="Noto Sans TC"/>
                <w:b w:val="0"/>
                <w:color w:val="172426"/>
                <w:sz w:val="16"/>
              </w:rPr>
              <w:t>Source and file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統計期間</w:t>
            </w:r>
            <w:r>
              <w:br/>
            </w:r>
            <w:r>
              <w:rPr>
                <w:rFonts w:ascii="Noto Sans TC" w:hAnsi="Noto Sans TC" w:eastAsia="Noto Sans TC" w:cs="Noto Sans TC"/>
                <w:b w:val="0"/>
                <w:color w:val="172426"/>
                <w:sz w:val="16"/>
              </w:rPr>
              <w:t>期間</w:t>
            </w:r>
            <w:r>
              <w:br/>
            </w:r>
            <w:r>
              <w:rPr>
                <w:rFonts w:ascii="Noto Sans TC" w:hAnsi="Noto Sans TC" w:eastAsia="Noto Sans TC" w:cs="Noto Sans TC"/>
                <w:b w:val="0"/>
                <w:color w:val="172426"/>
                <w:sz w:val="16"/>
              </w:rPr>
              <w:t>Period</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來源欄位</w:t>
            </w:r>
            <w:r>
              <w:br/>
            </w:r>
            <w:r>
              <w:rPr>
                <w:rFonts w:ascii="Noto Sans TC" w:hAnsi="Noto Sans TC" w:eastAsia="Noto Sans TC" w:cs="Noto Sans TC"/>
                <w:b w:val="0"/>
                <w:color w:val="172426"/>
                <w:sz w:val="16"/>
              </w:rPr>
              <w:t>元項目</w:t>
            </w:r>
            <w:r>
              <w:br/>
            </w:r>
            <w:r>
              <w:rPr>
                <w:rFonts w:ascii="Noto Sans TC" w:hAnsi="Noto Sans TC" w:eastAsia="Noto Sans TC" w:cs="Noto Sans TC"/>
                <w:b w:val="0"/>
                <w:color w:val="172426"/>
                <w:sz w:val="16"/>
              </w:rPr>
              <w:t>Source field</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標準欄位</w:t>
            </w:r>
            <w:r>
              <w:br/>
            </w:r>
            <w:r>
              <w:rPr>
                <w:rFonts w:ascii="Noto Sans TC" w:hAnsi="Noto Sans TC" w:eastAsia="Noto Sans TC" w:cs="Noto Sans TC"/>
                <w:b w:val="0"/>
                <w:color w:val="172426"/>
                <w:sz w:val="16"/>
              </w:rPr>
              <w:t>標準項目</w:t>
            </w:r>
            <w:r>
              <w:br/>
            </w:r>
            <w:r>
              <w:rPr>
                <w:rFonts w:ascii="Noto Sans TC" w:hAnsi="Noto Sans TC" w:eastAsia="Noto Sans TC" w:cs="Noto Sans TC"/>
                <w:b w:val="0"/>
                <w:color w:val="172426"/>
                <w:sz w:val="16"/>
              </w:rPr>
              <w:t>Standard field</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比對主鍵</w:t>
            </w:r>
            <w:r>
              <w:br/>
            </w:r>
            <w:r>
              <w:rPr>
                <w:rFonts w:ascii="Noto Sans TC" w:hAnsi="Noto Sans TC" w:eastAsia="Noto Sans TC" w:cs="Noto Sans TC"/>
                <w:b w:val="0"/>
                <w:color w:val="172426"/>
                <w:sz w:val="16"/>
              </w:rPr>
              <w:t>照合キー</w:t>
            </w:r>
            <w:r>
              <w:br/>
            </w:r>
            <w:r>
              <w:rPr>
                <w:rFonts w:ascii="Noto Sans TC" w:hAnsi="Noto Sans TC" w:eastAsia="Noto Sans TC" w:cs="Noto Sans TC"/>
                <w:b w:val="0"/>
                <w:color w:val="172426"/>
                <w:sz w:val="16"/>
              </w:rPr>
              <w:t>Matching key</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日期與時區規則</w:t>
            </w:r>
            <w:r>
              <w:br/>
            </w:r>
            <w:r>
              <w:rPr>
                <w:rFonts w:ascii="Noto Sans TC" w:hAnsi="Noto Sans TC" w:eastAsia="Noto Sans TC" w:cs="Noto Sans TC"/>
                <w:b w:val="0"/>
                <w:color w:val="172426"/>
                <w:sz w:val="16"/>
              </w:rPr>
              <w:t>日付・時差</w:t>
            </w:r>
            <w:r>
              <w:br/>
            </w:r>
            <w:r>
              <w:rPr>
                <w:rFonts w:ascii="Noto Sans TC" w:hAnsi="Noto Sans TC" w:eastAsia="Noto Sans TC" w:cs="Noto Sans TC"/>
                <w:b w:val="0"/>
                <w:color w:val="172426"/>
                <w:sz w:val="16"/>
              </w:rPr>
              <w:t>Date and time-zone rules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空值／取消／退貨處理</w:t>
            </w:r>
            <w:r>
              <w:br/>
            </w:r>
            <w:r>
              <w:rPr>
                <w:rFonts w:ascii="Noto Sans TC" w:hAnsi="Noto Sans TC" w:eastAsia="Noto Sans TC" w:cs="Noto Sans TC"/>
                <w:b w:val="0"/>
                <w:color w:val="172426"/>
                <w:sz w:val="16"/>
              </w:rPr>
              <w:t>取消・返品処理</w:t>
            </w:r>
            <w:r>
              <w:br/>
            </w:r>
            <w:r>
              <w:rPr>
                <w:rFonts w:ascii="Noto Sans TC" w:hAnsi="Noto Sans TC" w:eastAsia="Noto Sans TC" w:cs="Noto Sans TC"/>
                <w:b w:val="0"/>
                <w:color w:val="172426"/>
                <w:sz w:val="16"/>
              </w:rPr>
              <w:t>Cancellation and return rules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負責人</w:t>
            </w:r>
            <w:r>
              <w:br/>
            </w:r>
            <w:r>
              <w:rPr>
                <w:rFonts w:ascii="Noto Sans TC" w:hAnsi="Noto Sans TC" w:eastAsia="Noto Sans TC" w:cs="Noto Sans TC"/>
                <w:b w:val="0"/>
                <w:color w:val="172426"/>
                <w:sz w:val="16"/>
              </w:rPr>
              <w:t>担当者</w:t>
            </w:r>
            <w:r>
              <w:br/>
            </w:r>
            <w:r>
              <w:rPr>
                <w:rFonts w:ascii="Noto Sans TC" w:hAnsi="Noto Sans TC" w:eastAsia="Noto Sans TC" w:cs="Noto Sans TC"/>
                <w:b w:val="0"/>
                <w:color w:val="172426"/>
                <w:sz w:val="16"/>
              </w:rPr>
              <w:t>Owner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05.2</w:t>
      </w:r>
    </w:p>
    <w:p>
      <w:pPr>
        <w:pStyle w:val="Heading1"/>
        <w:spacing w:before="0"/>
      </w:pPr>
      <w:r>
        <w:t>訂單庫存差異報表</w:t>
      </w:r>
    </w:p>
    <w:p>
      <w:pPr>
        <w:pStyle w:val="ToolkitLead"/>
      </w:pPr>
      <w:r>
        <w:rPr>
          <w:rFonts w:ascii="Noto Sans TC" w:hAnsi="Noto Sans TC" w:eastAsia="Noto Sans TC" w:cs="Noto Sans TC"/>
          <w:b/>
          <w:color w:val="173F42"/>
          <w:sz w:val="21"/>
        </w:rPr>
        <w:t>注文・在庫差異表</w:t>
      </w:r>
      <w:r>
        <w:br/>
      </w:r>
      <w:r>
        <w:rPr>
          <w:rFonts w:ascii="Noto Sans TC" w:hAnsi="Noto Sans TC" w:eastAsia="Noto Sans TC" w:cs="Noto Sans TC"/>
          <w:b/>
          <w:color w:val="5D6C6D"/>
          <w:sz w:val="20"/>
        </w:rPr>
        <w:t>Order and stock variance report</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列出需要人工確認的數量、狀態與金額差異。</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数量、状態、金額の要確認項目を表示。</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Show quantity, status and value differences for review.</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訂單編號與商品代碼</w:t>
            </w:r>
            <w:r>
              <w:br/>
            </w:r>
            <w:r>
              <w:rPr>
                <w:rFonts w:ascii="Noto Sans TC" w:hAnsi="Noto Sans TC" w:eastAsia="Noto Sans TC" w:cs="Noto Sans TC"/>
                <w:b w:val="0"/>
                <w:color w:val="172426"/>
                <w:sz w:val="16"/>
              </w:rPr>
              <w:t>注文・商品コード</w:t>
            </w:r>
            <w:r>
              <w:br/>
            </w:r>
            <w:r>
              <w:rPr>
                <w:rFonts w:ascii="Noto Sans TC" w:hAnsi="Noto Sans TC" w:eastAsia="Noto Sans TC" w:cs="Noto Sans TC"/>
                <w:b w:val="0"/>
                <w:color w:val="172426"/>
                <w:sz w:val="16"/>
              </w:rPr>
              <w:t>Order and product code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來源 A 數值</w:t>
            </w:r>
            <w:r>
              <w:br/>
            </w:r>
            <w:r>
              <w:rPr>
                <w:rFonts w:ascii="Noto Sans TC" w:hAnsi="Noto Sans TC" w:eastAsia="Noto Sans TC" w:cs="Noto Sans TC"/>
                <w:b w:val="0"/>
                <w:color w:val="172426"/>
                <w:sz w:val="16"/>
              </w:rPr>
              <w:t>情報源A</w:t>
            </w:r>
            <w:r>
              <w:br/>
            </w:r>
            <w:r>
              <w:rPr>
                <w:rFonts w:ascii="Noto Sans TC" w:hAnsi="Noto Sans TC" w:eastAsia="Noto Sans TC" w:cs="Noto Sans TC"/>
                <w:b w:val="0"/>
                <w:color w:val="172426"/>
                <w:sz w:val="16"/>
              </w:rPr>
              <w:t>Source A</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來源 B 數值</w:t>
            </w:r>
            <w:r>
              <w:br/>
            </w:r>
            <w:r>
              <w:rPr>
                <w:rFonts w:ascii="Noto Sans TC" w:hAnsi="Noto Sans TC" w:eastAsia="Noto Sans TC" w:cs="Noto Sans TC"/>
                <w:b w:val="0"/>
                <w:color w:val="172426"/>
                <w:sz w:val="16"/>
              </w:rPr>
              <w:t>情報源B</w:t>
            </w:r>
            <w:r>
              <w:br/>
            </w:r>
            <w:r>
              <w:rPr>
                <w:rFonts w:ascii="Noto Sans TC" w:hAnsi="Noto Sans TC" w:eastAsia="Noto Sans TC" w:cs="Noto Sans TC"/>
                <w:b w:val="0"/>
                <w:color w:val="172426"/>
                <w:sz w:val="16"/>
              </w:rPr>
              <w:t>Source B</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差異</w:t>
            </w:r>
            <w:r>
              <w:br/>
            </w:r>
            <w:r>
              <w:rPr>
                <w:rFonts w:ascii="Noto Sans TC" w:hAnsi="Noto Sans TC" w:eastAsia="Noto Sans TC" w:cs="Noto Sans TC"/>
                <w:b w:val="0"/>
                <w:color w:val="172426"/>
                <w:sz w:val="16"/>
              </w:rPr>
              <w:t>差異</w:t>
            </w:r>
            <w:r>
              <w:br/>
            </w:r>
            <w:r>
              <w:rPr>
                <w:rFonts w:ascii="Noto Sans TC" w:hAnsi="Noto Sans TC" w:eastAsia="Noto Sans TC" w:cs="Noto Sans TC"/>
                <w:b w:val="0"/>
                <w:color w:val="172426"/>
                <w:sz w:val="16"/>
              </w:rPr>
              <w:t>Difference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可能原因</w:t>
            </w:r>
            <w:r>
              <w:br/>
            </w:r>
            <w:r>
              <w:rPr>
                <w:rFonts w:ascii="Noto Sans TC" w:hAnsi="Noto Sans TC" w:eastAsia="Noto Sans TC" w:cs="Noto Sans TC"/>
                <w:b w:val="0"/>
                <w:color w:val="172426"/>
                <w:sz w:val="16"/>
              </w:rPr>
              <w:t>推定原因</w:t>
            </w:r>
            <w:r>
              <w:br/>
            </w:r>
            <w:r>
              <w:rPr>
                <w:rFonts w:ascii="Noto Sans TC" w:hAnsi="Noto Sans TC" w:eastAsia="Noto Sans TC" w:cs="Noto Sans TC"/>
                <w:b w:val="0"/>
                <w:color w:val="172426"/>
                <w:sz w:val="16"/>
              </w:rPr>
              <w:t>Possible cause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是否影響庫存／結算</w:t>
            </w:r>
            <w:r>
              <w:br/>
            </w:r>
            <w:r>
              <w:rPr>
                <w:rFonts w:ascii="Noto Sans TC" w:hAnsi="Noto Sans TC" w:eastAsia="Noto Sans TC" w:cs="Noto Sans TC"/>
                <w:b w:val="0"/>
                <w:color w:val="172426"/>
                <w:sz w:val="16"/>
              </w:rPr>
              <w:t>在庫・精算影響</w:t>
            </w:r>
            <w:r>
              <w:br/>
            </w:r>
            <w:r>
              <w:rPr>
                <w:rFonts w:ascii="Noto Sans TC" w:hAnsi="Noto Sans TC" w:eastAsia="Noto Sans TC" w:cs="Noto Sans TC"/>
                <w:b w:val="0"/>
                <w:color w:val="172426"/>
                <w:sz w:val="16"/>
              </w:rPr>
              <w:t>Inventory or settlement impact</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負責人</w:t>
            </w:r>
            <w:r>
              <w:br/>
            </w:r>
            <w:r>
              <w:rPr>
                <w:rFonts w:ascii="Noto Sans TC" w:hAnsi="Noto Sans TC" w:eastAsia="Noto Sans TC" w:cs="Noto Sans TC"/>
                <w:b w:val="0"/>
                <w:color w:val="172426"/>
                <w:sz w:val="16"/>
              </w:rPr>
              <w:t>担当者</w:t>
            </w:r>
            <w:r>
              <w:br/>
            </w:r>
            <w:r>
              <w:rPr>
                <w:rFonts w:ascii="Noto Sans TC" w:hAnsi="Noto Sans TC" w:eastAsia="Noto Sans TC" w:cs="Noto Sans TC"/>
                <w:b w:val="0"/>
                <w:color w:val="172426"/>
                <w:sz w:val="16"/>
              </w:rPr>
              <w:t>Owner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處理狀態</w:t>
            </w:r>
            <w:r>
              <w:br/>
            </w:r>
            <w:r>
              <w:rPr>
                <w:rFonts w:ascii="Noto Sans TC" w:hAnsi="Noto Sans TC" w:eastAsia="Noto Sans TC" w:cs="Noto Sans TC"/>
                <w:b w:val="0"/>
                <w:color w:val="172426"/>
                <w:sz w:val="16"/>
              </w:rPr>
              <w:t>状態</w:t>
            </w:r>
            <w:r>
              <w:br/>
            </w:r>
            <w:r>
              <w:rPr>
                <w:rFonts w:ascii="Noto Sans TC" w:hAnsi="Noto Sans TC" w:eastAsia="Noto Sans TC" w:cs="Noto Sans TC"/>
                <w:b w:val="0"/>
                <w:color w:val="172426"/>
                <w:sz w:val="16"/>
              </w:rPr>
              <w:t>Status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05.3</w:t>
      </w:r>
    </w:p>
    <w:p>
      <w:pPr>
        <w:pStyle w:val="Heading1"/>
        <w:spacing w:before="0"/>
      </w:pPr>
      <w:r>
        <w:t>差異處理核准記錄</w:t>
      </w:r>
    </w:p>
    <w:p>
      <w:pPr>
        <w:pStyle w:val="ToolkitLead"/>
      </w:pPr>
      <w:r>
        <w:rPr>
          <w:rFonts w:ascii="Noto Sans TC" w:hAnsi="Noto Sans TC" w:eastAsia="Noto Sans TC" w:cs="Noto Sans TC"/>
          <w:b/>
          <w:color w:val="173F42"/>
          <w:sz w:val="21"/>
        </w:rPr>
        <w:t>差異処理承認記録</w:t>
      </w:r>
      <w:r>
        <w:br/>
      </w:r>
      <w:r>
        <w:rPr>
          <w:rFonts w:ascii="Noto Sans TC" w:hAnsi="Noto Sans TC" w:eastAsia="Noto Sans TC" w:cs="Noto Sans TC"/>
          <w:b/>
          <w:color w:val="5D6C6D"/>
          <w:sz w:val="20"/>
        </w:rPr>
        <w:t>Variance approval record</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保留每一筆調整、退款或結算決定的依據。</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調整、返金、精算の根拠を保存。</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Retain evidence for adjustment, refund and settlement decisions.</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差異項目</w:t>
            </w:r>
            <w:r>
              <w:br/>
            </w:r>
            <w:r>
              <w:rPr>
                <w:rFonts w:ascii="Noto Sans TC" w:hAnsi="Noto Sans TC" w:eastAsia="Noto Sans TC" w:cs="Noto Sans TC"/>
                <w:b w:val="0"/>
                <w:color w:val="172426"/>
                <w:sz w:val="16"/>
              </w:rPr>
              <w:t>差異項目</w:t>
            </w:r>
            <w:r>
              <w:br/>
            </w:r>
            <w:r>
              <w:rPr>
                <w:rFonts w:ascii="Noto Sans TC" w:hAnsi="Noto Sans TC" w:eastAsia="Noto Sans TC" w:cs="Noto Sans TC"/>
                <w:b w:val="0"/>
                <w:color w:val="172426"/>
                <w:sz w:val="16"/>
              </w:rPr>
              <w:t>Variance item</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建議處理</w:t>
            </w:r>
            <w:r>
              <w:br/>
            </w:r>
            <w:r>
              <w:rPr>
                <w:rFonts w:ascii="Noto Sans TC" w:hAnsi="Noto Sans TC" w:eastAsia="Noto Sans TC" w:cs="Noto Sans TC"/>
                <w:b w:val="0"/>
                <w:color w:val="172426"/>
                <w:sz w:val="16"/>
              </w:rPr>
              <w:t>推奨処理</w:t>
            </w:r>
            <w:r>
              <w:br/>
            </w:r>
            <w:r>
              <w:rPr>
                <w:rFonts w:ascii="Noto Sans TC" w:hAnsi="Noto Sans TC" w:eastAsia="Noto Sans TC" w:cs="Noto Sans TC"/>
                <w:b w:val="0"/>
                <w:color w:val="172426"/>
                <w:sz w:val="16"/>
              </w:rPr>
              <w:t>Proposed action</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涉及數量／金額</w:t>
            </w:r>
            <w:r>
              <w:br/>
            </w:r>
            <w:r>
              <w:rPr>
                <w:rFonts w:ascii="Noto Sans TC" w:hAnsi="Noto Sans TC" w:eastAsia="Noto Sans TC" w:cs="Noto Sans TC"/>
                <w:b w:val="0"/>
                <w:color w:val="172426"/>
                <w:sz w:val="16"/>
              </w:rPr>
              <w:t>数量・金額</w:t>
            </w:r>
            <w:r>
              <w:br/>
            </w:r>
            <w:r>
              <w:rPr>
                <w:rFonts w:ascii="Noto Sans TC" w:hAnsi="Noto Sans TC" w:eastAsia="Noto Sans TC" w:cs="Noto Sans TC"/>
                <w:b w:val="0"/>
                <w:color w:val="172426"/>
                <w:sz w:val="16"/>
              </w:rPr>
              <w:t>Quantity or amount</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佐證文件</w:t>
            </w:r>
            <w:r>
              <w:br/>
            </w:r>
            <w:r>
              <w:rPr>
                <w:rFonts w:ascii="Noto Sans TC" w:hAnsi="Noto Sans TC" w:eastAsia="Noto Sans TC" w:cs="Noto Sans TC"/>
                <w:b w:val="0"/>
                <w:color w:val="172426"/>
                <w:sz w:val="16"/>
              </w:rPr>
              <w:t>証拠</w:t>
            </w:r>
            <w:r>
              <w:br/>
            </w:r>
            <w:r>
              <w:rPr>
                <w:rFonts w:ascii="Noto Sans TC" w:hAnsi="Noto Sans TC" w:eastAsia="Noto Sans TC" w:cs="Noto Sans TC"/>
                <w:b w:val="0"/>
                <w:color w:val="172426"/>
                <w:sz w:val="16"/>
              </w:rPr>
              <w:t>Evidence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核准人</w:t>
            </w:r>
            <w:r>
              <w:br/>
            </w:r>
            <w:r>
              <w:rPr>
                <w:rFonts w:ascii="Noto Sans TC" w:hAnsi="Noto Sans TC" w:eastAsia="Noto Sans TC" w:cs="Noto Sans TC"/>
                <w:b w:val="0"/>
                <w:color w:val="172426"/>
                <w:sz w:val="16"/>
              </w:rPr>
              <w:t>承認者・日付</w:t>
            </w:r>
            <w:r>
              <w:br/>
            </w:r>
            <w:r>
              <w:rPr>
                <w:rFonts w:ascii="Noto Sans TC" w:hAnsi="Noto Sans TC" w:eastAsia="Noto Sans TC" w:cs="Noto Sans TC"/>
                <w:b w:val="0"/>
                <w:color w:val="172426"/>
                <w:sz w:val="16"/>
              </w:rPr>
              <w:t>Approver and date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核准日期</w:t>
            </w:r>
            <w:r>
              <w:br/>
            </w:r>
            <w:r>
              <w:rPr>
                <w:rFonts w:ascii="Noto Sans TC" w:hAnsi="Noto Sans TC" w:eastAsia="Noto Sans TC" w:cs="Noto Sans TC"/>
                <w:b w:val="0"/>
                <w:color w:val="172426"/>
                <w:sz w:val="16"/>
              </w:rPr>
              <w:t>承認者・日付</w:t>
            </w:r>
            <w:r>
              <w:br/>
            </w:r>
            <w:r>
              <w:rPr>
                <w:rFonts w:ascii="Noto Sans TC" w:hAnsi="Noto Sans TC" w:eastAsia="Noto Sans TC" w:cs="Noto Sans TC"/>
                <w:b w:val="0"/>
                <w:color w:val="172426"/>
                <w:sz w:val="16"/>
              </w:rPr>
              <w:t>Approver and date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實際處理人</w:t>
            </w:r>
            <w:r>
              <w:br/>
            </w:r>
            <w:r>
              <w:rPr>
                <w:rFonts w:ascii="Noto Sans TC" w:hAnsi="Noto Sans TC" w:eastAsia="Noto Sans TC" w:cs="Noto Sans TC"/>
                <w:b w:val="0"/>
                <w:color w:val="172426"/>
                <w:sz w:val="16"/>
              </w:rPr>
              <w:t>処理担当</w:t>
            </w:r>
            <w:r>
              <w:br/>
            </w:r>
            <w:r>
              <w:rPr>
                <w:rFonts w:ascii="Noto Sans TC" w:hAnsi="Noto Sans TC" w:eastAsia="Noto Sans TC" w:cs="Noto Sans TC"/>
                <w:b w:val="0"/>
                <w:color w:val="172426"/>
                <w:sz w:val="16"/>
              </w:rPr>
              <w:t>Action owner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完成狀態</w:t>
            </w:r>
            <w:r>
              <w:br/>
            </w:r>
            <w:r>
              <w:rPr>
                <w:rFonts w:ascii="Noto Sans TC" w:hAnsi="Noto Sans TC" w:eastAsia="Noto Sans TC" w:cs="Noto Sans TC"/>
                <w:b w:val="0"/>
                <w:color w:val="172426"/>
                <w:sz w:val="16"/>
              </w:rPr>
              <w:t>完了状態</w:t>
            </w:r>
            <w:r>
              <w:br/>
            </w:r>
            <w:r>
              <w:rPr>
                <w:rFonts w:ascii="Noto Sans TC" w:hAnsi="Noto Sans TC" w:eastAsia="Noto Sans TC" w:cs="Noto Sans TC"/>
                <w:b w:val="0"/>
                <w:color w:val="172426"/>
                <w:sz w:val="16"/>
              </w:rPr>
              <w:t>Completion status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sectPr>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Noto Sans TC" w:hAnsi="Noto Sans TC" w:eastAsia="Noto Sans TC" w:cs="Noto Sans TC"/>
        <w:color w:val="5D6C6D"/>
        <w:sz w:val="16"/>
      </w:rPr>
      <w:t xml:space="preserve">v1.0.0  |  2026-08-21  |  頁 / ページ / Page </w:t>
    </w:r>
    <w:r>
      <w:rPr>
        <w:rFonts w:ascii="Noto Sans TC" w:hAnsi="Noto Sans TC" w:eastAsia="Noto Sans TC" w:cs="Noto Sans TC"/>
        <w:color w:val="5D6C6D"/>
        <w:sz w:val="16"/>
      </w:rPr>
      <w:fldChar w:fldCharType="begin"/>
      <w:instrText xml:space="preserve"> PAGE </w:instrText>
      <w:fldChar w:fldCharType="separate"/>
      <w:t>1</w:t>
      <w:fldChar w:fldCharType="end"/>
    </w:r>
    <w:r>
      <w:rPr>
        <w:rFonts w:ascii="Noto Sans TC" w:hAnsi="Noto Sans TC" w:eastAsia="Noto Sans TC" w:cs="Noto Sans TC"/>
        <w:color w:val="5D6C6D"/>
        <w:sz w:val="16"/>
      </w:rPr>
      <w:t xml:space="preserve"> / </w:t>
    </w:r>
    <w:r>
      <w:rPr>
        <w:rFonts w:ascii="Noto Sans TC" w:hAnsi="Noto Sans TC" w:eastAsia="Noto Sans TC" w:cs="Noto Sans TC"/>
        <w:color w:val="5D6C6D"/>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left"/>
      </w:tabs>
      <w:spacing w:after="0"/>
    </w:pPr>
    <w:r/>
    <w:r>
      <w:rPr>
        <w:rFonts w:ascii="Noto Sans TC" w:hAnsi="Noto Sans TC" w:eastAsia="Noto Sans TC" w:cs="Noto Sans TC"/>
        <w:b/>
        <w:color w:val="102C2E"/>
        <w:sz w:val="17"/>
      </w:rPr>
      <w:t>KANEKYU  |  AI TOOLKIT 05</w:t>
    </w:r>
    <w:r>
      <w:rPr>
        <w:rFonts w:ascii="Noto Sans TC" w:hAnsi="Noto Sans TC" w:eastAsia="Noto Sans TC" w:cs="Noto Sans TC"/>
        <w:color w:val="5D6C6D"/>
        <w:sz w:val="16"/>
      </w:rPr>
      <w:tab/>
      <w:t>order-reconciliation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spacing w:before="0" w:after="120" w:line="300" w:lineRule="auto"/>
    </w:pPr>
    <w:rPr>
      <w:rFonts w:ascii="Noto Sans TC" w:hAnsi="Noto Sans TC" w:eastAsia="Noto Sans TC" w:cs="Noto Sans TC"/>
      <w:b w:val="0"/>
      <w:color w:val="1724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line="276" w:lineRule="auto"/>
      <w:outlineLvl w:val="0"/>
    </w:pPr>
    <w:rPr>
      <w:rFonts w:asciiTheme="majorHAnsi" w:eastAsiaTheme="majorEastAsia" w:hAnsiTheme="majorHAnsi" w:cstheme="majorBidi" w:ascii="Noto Sans TC" w:hAnsi="Noto Sans TC" w:eastAsia="Noto Sans TC" w:cs="Noto Sans TC"/>
      <w:b/>
      <w:bCs/>
      <w:color w:val="102C2E"/>
      <w:sz w:val="32"/>
      <w:szCs w:val="28"/>
    </w:rPr>
  </w:style>
  <w:style w:type="paragraph" w:styleId="Heading2">
    <w:name w:val="heading 2"/>
    <w:basedOn w:val="Normal"/>
    <w:next w:val="Normal"/>
    <w:link w:val="Heading2Char"/>
    <w:uiPriority w:val="9"/>
    <w:unhideWhenUsed/>
    <w:qFormat/>
    <w:rsid w:val="00FC693F"/>
    <w:pPr>
      <w:keepNext/>
      <w:keepLines/>
      <w:pageBreakBefore w:val="0"/>
      <w:spacing w:before="280" w:after="140" w:line="276" w:lineRule="auto"/>
      <w:outlineLvl w:val="1"/>
    </w:pPr>
    <w:rPr>
      <w:rFonts w:asciiTheme="majorHAnsi" w:eastAsiaTheme="majorEastAsia" w:hAnsiTheme="majorHAnsi" w:cstheme="majorBidi" w:ascii="Noto Sans TC" w:hAnsi="Noto Sans TC" w:eastAsia="Noto Sans TC" w:cs="Noto Sans TC"/>
      <w:b/>
      <w:bCs/>
      <w:color w:val="173F42"/>
      <w:sz w:val="26"/>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100" w:line="276" w:lineRule="auto"/>
      <w:outlineLvl w:val="2"/>
    </w:pPr>
    <w:rPr>
      <w:rFonts w:asciiTheme="majorHAnsi" w:eastAsiaTheme="majorEastAsia" w:hAnsiTheme="majorHAnsi" w:cstheme="majorBidi" w:ascii="Noto Sans TC" w:hAnsi="Noto Sans TC" w:eastAsia="Noto Sans TC" w:cs="Noto Sans TC"/>
      <w:b/>
      <w:bCs/>
      <w:color w:val="173F4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60" w:line="252" w:lineRule="auto" w:before="0"/>
      <w:contextualSpacing/>
    </w:pPr>
    <w:rPr>
      <w:rFonts w:asciiTheme="majorHAnsi" w:eastAsiaTheme="majorEastAsia" w:hAnsiTheme="majorHAnsi" w:cstheme="majorBidi" w:ascii="Noto Serif TC" w:hAnsi="Noto Serif TC" w:eastAsia="Noto Serif TC" w:cs="Noto Serif TC"/>
      <w:b/>
      <w:color w:val="102C2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numPr>
        <w:ilvl w:val="1"/>
      </w:numPr>
      <w:spacing w:before="0" w:after="360" w:line="288" w:lineRule="auto"/>
    </w:pPr>
    <w:rPr>
      <w:rFonts w:asciiTheme="majorHAnsi" w:eastAsiaTheme="majorEastAsia" w:hAnsiTheme="majorHAnsi" w:cstheme="majorBidi" w:ascii="Noto Sans TC" w:hAnsi="Noto Sans TC" w:eastAsia="Noto Sans TC" w:cs="Noto Sans TC"/>
      <w:b w:val="0"/>
      <w:i/>
      <w:iCs/>
      <w:color w:val="5D6C6D"/>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Kicker">
    <w:name w:val="Toolkit Kicker"/>
    <w:pPr>
      <w:keepNext/>
      <w:pageBreakBefore w:val="0"/>
      <w:spacing w:before="0" w:after="80" w:line="240" w:lineRule="auto"/>
    </w:pPr>
    <w:rPr>
      <w:rFonts w:ascii="Noto Sans TC" w:hAnsi="Noto Sans TC" w:eastAsia="Noto Sans TC" w:cs="Noto Sans TC"/>
      <w:b/>
      <w:color w:val="D8A657"/>
      <w:sz w:val="18"/>
    </w:rPr>
  </w:style>
  <w:style w:type="paragraph" w:customStyle="1" w:styleId="ToolkitLead">
    <w:name w:val="Toolkit Lead"/>
    <w:pPr>
      <w:keepNext w:val="0"/>
      <w:pageBreakBefore w:val="0"/>
      <w:spacing w:before="0" w:after="160" w:line="300" w:lineRule="auto"/>
    </w:pPr>
    <w:rPr>
      <w:rFonts w:ascii="Noto Sans TC" w:hAnsi="Noto Sans TC" w:eastAsia="Noto Sans TC" w:cs="Noto Sans TC"/>
      <w:b w:val="0"/>
      <w:color w:val="172426"/>
      <w:sz w:val="23"/>
    </w:rPr>
  </w:style>
  <w:style w:type="paragraph" w:customStyle="1" w:styleId="ToolkitSmall">
    <w:name w:val="Toolkit Small"/>
    <w:pPr>
      <w:keepNext w:val="0"/>
      <w:pageBreakBefore w:val="0"/>
      <w:spacing w:before="0" w:after="60" w:line="276" w:lineRule="auto"/>
    </w:pPr>
    <w:rPr>
      <w:rFonts w:ascii="Noto Sans TC" w:hAnsi="Noto Sans TC" w:eastAsia="Noto Sans TC" w:cs="Noto Sans TC"/>
      <w:b w:val="0"/>
      <w:color w:val="5D6C6D"/>
      <w:sz w:val="17"/>
    </w:rPr>
  </w:style>
  <w:style w:type="paragraph" w:customStyle="1" w:styleId="ToolkitNote">
    <w:name w:val="Toolkit Note"/>
    <w:pPr>
      <w:keepNext w:val="0"/>
      <w:pageBreakBefore w:val="0"/>
      <w:spacing w:before="60" w:after="160" w:line="288" w:lineRule="auto"/>
    </w:pPr>
    <w:rPr>
      <w:rFonts w:ascii="Noto Sans TC" w:hAnsi="Noto Sans TC" w:eastAsia="Noto Sans TC" w:cs="Noto Sans TC"/>
      <w:b w:val="0"/>
      <w:color w:val="5D6C6D"/>
      <w:sz w:val="18"/>
    </w:rPr>
  </w:style>
  <w:style w:type="paragraph" w:customStyle="1" w:styleId="ToolkitFormLabel">
    <w:name w:val="Toolkit Form Label"/>
    <w:pPr>
      <w:keepNext w:val="0"/>
      <w:pageBreakBefore w:val="0"/>
      <w:spacing w:before="0" w:after="0" w:line="252" w:lineRule="auto"/>
    </w:pPr>
    <w:rPr>
      <w:rFonts w:ascii="Noto Sans TC" w:hAnsi="Noto Sans TC" w:eastAsia="Noto Sans TC" w:cs="Noto Sans TC"/>
      <w:b/>
      <w:color w:val="172426"/>
      <w:sz w:val="17"/>
    </w:rPr>
  </w:style>
  <w:style w:type="paragraph" w:customStyle="1" w:styleId="ToolkitFormEntry">
    <w:name w:val="Toolkit Form Entry"/>
    <w:pPr>
      <w:keepNext w:val="0"/>
      <w:pageBreakBefore w:val="0"/>
      <w:spacing w:before="0" w:after="0" w:line="252" w:lineRule="auto"/>
    </w:pPr>
    <w:rPr>
      <w:rFonts w:ascii="Noto Sans TC" w:hAnsi="Noto Sans TC" w:eastAsia="Noto Sans TC" w:cs="Noto Sans TC"/>
      <w:b w:val="0"/>
      <w:color w:val="738081"/>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訂單、庫存與對帳檢查</dc:title>
  <dc:subject>Trilingual fillable AI operations toolkit</dc:subject>
  <dc:creator/>
  <cp:keywords>AI toolkit, trilingual, order-reconciliation</cp:keywords>
  <dc:description>Source: lib/ai-workflows.ts</dc:description>
  <cp:lastModifiedBy/>
  <cp:revision>1</cp:revision>
  <dcterms:created xsi:type="dcterms:W3CDTF">2013-12-23T23:15:00Z</dcterms:created>
  <dcterms:modified xsi:type="dcterms:W3CDTF">2013-12-23T23:15:00Z</dcterms:modified>
  <cp:category/>
</cp:coreProperties>
</file>